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7D6" w:rsidRPr="00FA0E38" w:rsidRDefault="00B975BF" w:rsidP="00FA0E38">
      <w:pPr>
        <w:pStyle w:val="Title"/>
        <w:jc w:val="right"/>
      </w:pPr>
      <w:bookmarkStart w:id="0" w:name="_GoBack"/>
      <w:bookmarkEnd w:id="0"/>
      <w:r>
        <w:rPr>
          <w:noProof/>
          <w:lang w:eastAsia="en-GB"/>
        </w:rPr>
        <w:drawing>
          <wp:inline distT="0" distB="0" distL="0" distR="0">
            <wp:extent cx="1428750" cy="514350"/>
            <wp:effectExtent l="0" t="0" r="0" b="0"/>
            <wp:docPr id="1" name="Picture 1" descr="Member of the Steer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 of the Steering Gro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p>
    <w:p w:rsidR="004D17D6" w:rsidRPr="006D1740" w:rsidRDefault="004D17D6" w:rsidP="006D1740">
      <w:pPr>
        <w:pStyle w:val="Title"/>
      </w:pPr>
      <w:r>
        <w:t>Space Assessment Models (SAM</w:t>
      </w:r>
      <w:r w:rsidR="00D64A28">
        <w:t>s</w:t>
      </w:r>
      <w:r>
        <w:t>)</w:t>
      </w:r>
      <w:r>
        <w:tab/>
      </w:r>
      <w:r>
        <w:br/>
      </w:r>
      <w:r w:rsidRPr="006D1740">
        <w:t>and</w:t>
      </w:r>
      <w:r>
        <w:t xml:space="preserve"> </w:t>
      </w:r>
      <w:r w:rsidRPr="006D1740">
        <w:t>Space Profiles</w:t>
      </w:r>
    </w:p>
    <w:p w:rsidR="004D17D6" w:rsidRPr="00291FE6" w:rsidRDefault="004D17D6" w:rsidP="00291FE6">
      <w:pPr>
        <w:pStyle w:val="Subtitle"/>
      </w:pPr>
    </w:p>
    <w:p w:rsidR="004D17D6" w:rsidRPr="00291FE6" w:rsidRDefault="004D17D6" w:rsidP="00291FE6">
      <w:pPr>
        <w:pStyle w:val="Subtitle"/>
        <w:rPr>
          <w:szCs w:val="28"/>
        </w:rPr>
      </w:pPr>
      <w:r w:rsidRPr="00291FE6">
        <w:rPr>
          <w:szCs w:val="28"/>
        </w:rPr>
        <w:t>User Guide</w:t>
      </w:r>
    </w:p>
    <w:p w:rsidR="004D17D6" w:rsidRPr="00291FE6" w:rsidRDefault="004D17D6" w:rsidP="00291FE6">
      <w:pPr>
        <w:pStyle w:val="Subtitle"/>
      </w:pPr>
    </w:p>
    <w:p w:rsidR="004D17D6" w:rsidRPr="00291FE6" w:rsidRDefault="004D17D6" w:rsidP="00291FE6">
      <w:pPr>
        <w:pStyle w:val="Subtitle"/>
      </w:pPr>
    </w:p>
    <w:p w:rsidR="004D17D6" w:rsidRPr="00291FE6" w:rsidRDefault="004D17D6" w:rsidP="00291FE6">
      <w:pPr>
        <w:pStyle w:val="Subtitle"/>
      </w:pPr>
    </w:p>
    <w:p w:rsidR="004D17D6" w:rsidRDefault="004D17D6" w:rsidP="004563CC">
      <w:pPr>
        <w:pStyle w:val="Subtitle"/>
      </w:pPr>
      <w:r>
        <w:t>Produced on behalf of</w:t>
      </w:r>
      <w:r w:rsidRPr="000C7097">
        <w:tab/>
      </w:r>
      <w:r w:rsidRPr="000C7097">
        <w:br/>
      </w:r>
      <w:r>
        <w:t>AUDE</w:t>
      </w:r>
    </w:p>
    <w:p w:rsidR="004D17D6" w:rsidRDefault="004D17D6" w:rsidP="004563CC">
      <w:pPr>
        <w:pStyle w:val="Subtitle"/>
      </w:pPr>
      <w:r w:rsidRPr="000C7097">
        <w:t>By</w:t>
      </w:r>
      <w:r>
        <w:br/>
        <w:t>Kilner Planning</w:t>
      </w:r>
    </w:p>
    <w:p w:rsidR="004D17D6" w:rsidRDefault="004D17D6" w:rsidP="004563CC"/>
    <w:p w:rsidR="004D17D6" w:rsidRDefault="00390485" w:rsidP="00114D22">
      <w:pPr>
        <w:pStyle w:val="Subtitle"/>
      </w:pPr>
      <w:r>
        <w:t>November</w:t>
      </w:r>
      <w:r w:rsidR="004D17D6">
        <w:t xml:space="preserve"> 2010</w:t>
      </w:r>
    </w:p>
    <w:p w:rsidR="004D17D6" w:rsidRDefault="004D17D6" w:rsidP="004563CC"/>
    <w:p w:rsidR="004D17D6" w:rsidRDefault="004D17D6" w:rsidP="004563CC">
      <w:r>
        <w:t xml:space="preserve">Produced with the support of HEFCE, SFC, </w:t>
      </w:r>
      <w:smartTag w:uri="urn:schemas-microsoft-com:office:smarttags" w:element="place">
        <w:smartTag w:uri="urn:schemas-microsoft-com:office:smarttags" w:element="City">
          <w:r>
            <w:t>HEFCW</w:t>
          </w:r>
        </w:smartTag>
        <w:r>
          <w:t xml:space="preserve">, </w:t>
        </w:r>
        <w:smartTag w:uri="urn:schemas-microsoft-com:office:smarttags" w:element="State">
          <w:r>
            <w:t>DEL</w:t>
          </w:r>
        </w:smartTag>
      </w:smartTag>
    </w:p>
    <w:p w:rsidR="004D17D6" w:rsidRDefault="00D931A2" w:rsidP="004563CC">
      <w:r>
        <w:t>and HEFCE’s</w:t>
      </w:r>
      <w:r w:rsidR="004D17D6">
        <w:t xml:space="preserve"> Leadership, Governance and Management (LGM) Fund</w:t>
      </w:r>
    </w:p>
    <w:p w:rsidR="004D17D6" w:rsidRDefault="004D17D6" w:rsidP="004563CC"/>
    <w:p w:rsidR="00D87C9D" w:rsidRPr="00D87C9D" w:rsidRDefault="00B975BF" w:rsidP="00D87C9D">
      <w:pPr>
        <w:tabs>
          <w:tab w:val="left" w:pos="3119"/>
          <w:tab w:val="left" w:pos="6096"/>
        </w:tabs>
      </w:pPr>
      <w:r>
        <w:rPr>
          <w:noProof/>
          <w:lang w:eastAsia="en-GB"/>
        </w:rPr>
        <w:drawing>
          <wp:inline distT="0" distB="0" distL="0" distR="0">
            <wp:extent cx="1619250" cy="619125"/>
            <wp:effectExtent l="0" t="0" r="0" b="9525"/>
            <wp:docPr id="2" name="Picture 2" descr="http://www.kilnerplanning.co.uk/Resources/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lnerplanning.co.uk/Resources/top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619125"/>
                    </a:xfrm>
                    <a:prstGeom prst="rect">
                      <a:avLst/>
                    </a:prstGeom>
                    <a:noFill/>
                    <a:ln>
                      <a:noFill/>
                    </a:ln>
                  </pic:spPr>
                </pic:pic>
              </a:graphicData>
            </a:graphic>
          </wp:inline>
        </w:drawing>
      </w:r>
      <w:r w:rsidR="00D87C9D" w:rsidRPr="00D87C9D">
        <w:tab/>
      </w:r>
      <w:r>
        <w:rPr>
          <w:noProof/>
          <w:lang w:eastAsia="en-GB"/>
        </w:rPr>
        <w:drawing>
          <wp:inline distT="0" distB="0" distL="0" distR="0">
            <wp:extent cx="628650" cy="7334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733425"/>
                    </a:xfrm>
                    <a:prstGeom prst="rect">
                      <a:avLst/>
                    </a:prstGeom>
                    <a:noFill/>
                    <a:ln>
                      <a:noFill/>
                    </a:ln>
                  </pic:spPr>
                </pic:pic>
              </a:graphicData>
            </a:graphic>
          </wp:inline>
        </w:drawing>
      </w:r>
      <w:r w:rsidR="00D87C9D" w:rsidRPr="00D87C9D">
        <w:t xml:space="preserve"> </w:t>
      </w:r>
      <w:r w:rsidR="00D87C9D" w:rsidRPr="00D87C9D">
        <w:tab/>
      </w:r>
    </w:p>
    <w:p w:rsidR="00D87C9D" w:rsidRPr="00D87C9D" w:rsidRDefault="00D87C9D" w:rsidP="00D87C9D"/>
    <w:p w:rsidR="00D87C9D" w:rsidRPr="00D87C9D" w:rsidRDefault="00B975BF" w:rsidP="00D87C9D">
      <w:r>
        <w:rPr>
          <w:noProof/>
          <w:lang w:eastAsia="en-GB"/>
        </w:rPr>
        <w:drawing>
          <wp:inline distT="0" distB="0" distL="0" distR="0">
            <wp:extent cx="1438275" cy="485775"/>
            <wp:effectExtent l="0" t="0" r="9525" b="9525"/>
            <wp:docPr id="4" name="Picture 4" descr="Member of the Steer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ber of the Steering Gro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r w:rsidR="00D87C9D" w:rsidRPr="00D87C9D">
        <w:t xml:space="preserve"> </w:t>
      </w:r>
      <w:r>
        <w:rPr>
          <w:noProof/>
          <w:lang w:eastAsia="en-GB"/>
        </w:rPr>
        <w:drawing>
          <wp:inline distT="0" distB="0" distL="0" distR="0">
            <wp:extent cx="1219200" cy="485775"/>
            <wp:effectExtent l="0" t="0" r="0" b="9525"/>
            <wp:docPr id="5" name="Picture 5" descr="member of the steer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mber of the steering grou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85775"/>
                    </a:xfrm>
                    <a:prstGeom prst="rect">
                      <a:avLst/>
                    </a:prstGeom>
                    <a:noFill/>
                    <a:ln>
                      <a:noFill/>
                    </a:ln>
                  </pic:spPr>
                </pic:pic>
              </a:graphicData>
            </a:graphic>
          </wp:inline>
        </w:drawing>
      </w:r>
      <w:r w:rsidR="00D87C9D" w:rsidRPr="00D87C9D">
        <w:t xml:space="preserve"> </w:t>
      </w:r>
      <w:r>
        <w:rPr>
          <w:noProof/>
          <w:lang w:eastAsia="en-GB"/>
        </w:rPr>
        <w:drawing>
          <wp:inline distT="0" distB="0" distL="0" distR="0">
            <wp:extent cx="1485900" cy="285750"/>
            <wp:effectExtent l="0" t="0" r="0" b="0"/>
            <wp:docPr id="6" name="Picture 6" descr="Member of the Steer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mber of the Steering Gro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285750"/>
                    </a:xfrm>
                    <a:prstGeom prst="rect">
                      <a:avLst/>
                    </a:prstGeom>
                    <a:noFill/>
                    <a:ln>
                      <a:noFill/>
                    </a:ln>
                  </pic:spPr>
                </pic:pic>
              </a:graphicData>
            </a:graphic>
          </wp:inline>
        </w:drawing>
      </w:r>
      <w:r w:rsidR="00D87C9D" w:rsidRPr="00D87C9D">
        <w:t xml:space="preserve"> </w:t>
      </w:r>
      <w:r>
        <w:rPr>
          <w:noProof/>
          <w:lang w:eastAsia="en-GB"/>
        </w:rPr>
        <w:drawing>
          <wp:inline distT="0" distB="0" distL="0" distR="0">
            <wp:extent cx="1047750" cy="485775"/>
            <wp:effectExtent l="0" t="0" r="0" b="0"/>
            <wp:docPr id="7" name="Picture 7" descr="Department for Employment and Learning - www.delni.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artment for Employment and Learning - www.delni.gov.u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485775"/>
                    </a:xfrm>
                    <a:prstGeom prst="rect">
                      <a:avLst/>
                    </a:prstGeom>
                    <a:noFill/>
                    <a:ln>
                      <a:noFill/>
                    </a:ln>
                  </pic:spPr>
                </pic:pic>
              </a:graphicData>
            </a:graphic>
          </wp:inline>
        </w:drawing>
      </w:r>
    </w:p>
    <w:p w:rsidR="00D87C9D" w:rsidRPr="00D87C9D" w:rsidRDefault="00D87C9D" w:rsidP="00D87C9D">
      <w:pPr>
        <w:sectPr w:rsidR="00D87C9D" w:rsidRPr="00D87C9D" w:rsidSect="003028AA">
          <w:headerReference w:type="default" r:id="rId15"/>
          <w:footerReference w:type="even" r:id="rId16"/>
          <w:footerReference w:type="default" r:id="rId17"/>
          <w:pgSz w:w="11909" w:h="16834" w:code="9"/>
          <w:pgMar w:top="2739" w:right="1578" w:bottom="1871" w:left="1582" w:header="862" w:footer="431" w:gutter="0"/>
          <w:paperSrc w:first="15" w:other="15"/>
          <w:cols w:space="720"/>
          <w:titlePg/>
          <w:docGrid w:linePitch="326"/>
        </w:sectPr>
      </w:pPr>
    </w:p>
    <w:p w:rsidR="00D64A28" w:rsidRDefault="00047E09">
      <w:pPr>
        <w:pStyle w:val="TOC1"/>
        <w:rPr>
          <w:b w:val="0"/>
          <w:noProof/>
          <w:sz w:val="22"/>
          <w:szCs w:val="22"/>
          <w:lang w:eastAsia="en-GB"/>
        </w:rPr>
      </w:pPr>
      <w:r>
        <w:rPr>
          <w:rStyle w:val="Hyperlink"/>
          <w:noProof/>
        </w:rPr>
        <w:lastRenderedPageBreak/>
        <w:fldChar w:fldCharType="begin"/>
      </w:r>
      <w:r w:rsidR="004D17D6">
        <w:rPr>
          <w:rStyle w:val="Hyperlink"/>
          <w:noProof/>
        </w:rPr>
        <w:instrText xml:space="preserve"> TOC \h \z \t "Heading 1,1" </w:instrText>
      </w:r>
      <w:r>
        <w:rPr>
          <w:rStyle w:val="Hyperlink"/>
          <w:noProof/>
        </w:rPr>
        <w:fldChar w:fldCharType="separate"/>
      </w:r>
      <w:hyperlink w:anchor="_Toc257210535" w:history="1">
        <w:r w:rsidR="00D64A28" w:rsidRPr="00D16667">
          <w:rPr>
            <w:rStyle w:val="Hyperlink"/>
            <w:noProof/>
          </w:rPr>
          <w:t>1</w:t>
        </w:r>
        <w:r w:rsidR="00D64A28">
          <w:rPr>
            <w:b w:val="0"/>
            <w:noProof/>
            <w:sz w:val="22"/>
            <w:szCs w:val="22"/>
            <w:lang w:eastAsia="en-GB"/>
          </w:rPr>
          <w:tab/>
        </w:r>
        <w:r w:rsidR="00D64A28" w:rsidRPr="00D16667">
          <w:rPr>
            <w:rStyle w:val="Hyperlink"/>
            <w:noProof/>
          </w:rPr>
          <w:t>Introduction</w:t>
        </w:r>
        <w:r w:rsidR="00D64A28">
          <w:rPr>
            <w:noProof/>
            <w:webHidden/>
          </w:rPr>
          <w:tab/>
        </w:r>
        <w:r>
          <w:rPr>
            <w:noProof/>
            <w:webHidden/>
          </w:rPr>
          <w:fldChar w:fldCharType="begin"/>
        </w:r>
        <w:r w:rsidR="00D64A28">
          <w:rPr>
            <w:noProof/>
            <w:webHidden/>
          </w:rPr>
          <w:instrText xml:space="preserve"> PAGEREF _Toc257210535 \h </w:instrText>
        </w:r>
        <w:r>
          <w:rPr>
            <w:noProof/>
            <w:webHidden/>
          </w:rPr>
        </w:r>
        <w:r>
          <w:rPr>
            <w:noProof/>
            <w:webHidden/>
          </w:rPr>
          <w:fldChar w:fldCharType="separate"/>
        </w:r>
        <w:r w:rsidR="00340977">
          <w:rPr>
            <w:noProof/>
            <w:webHidden/>
          </w:rPr>
          <w:t>1</w:t>
        </w:r>
        <w:r>
          <w:rPr>
            <w:noProof/>
            <w:webHidden/>
          </w:rPr>
          <w:fldChar w:fldCharType="end"/>
        </w:r>
      </w:hyperlink>
    </w:p>
    <w:p w:rsidR="00D64A28" w:rsidRDefault="00B975BF">
      <w:pPr>
        <w:pStyle w:val="TOC1"/>
        <w:rPr>
          <w:b w:val="0"/>
          <w:noProof/>
          <w:sz w:val="22"/>
          <w:szCs w:val="22"/>
          <w:lang w:eastAsia="en-GB"/>
        </w:rPr>
      </w:pPr>
      <w:hyperlink w:anchor="_Toc257210536" w:history="1">
        <w:r w:rsidR="00D64A28" w:rsidRPr="00D16667">
          <w:rPr>
            <w:rStyle w:val="Hyperlink"/>
            <w:noProof/>
          </w:rPr>
          <w:t>2</w:t>
        </w:r>
        <w:r w:rsidR="00D64A28">
          <w:rPr>
            <w:b w:val="0"/>
            <w:noProof/>
            <w:sz w:val="22"/>
            <w:szCs w:val="22"/>
            <w:lang w:eastAsia="en-GB"/>
          </w:rPr>
          <w:tab/>
        </w:r>
        <w:r w:rsidR="00D64A28" w:rsidRPr="00D16667">
          <w:rPr>
            <w:rStyle w:val="Hyperlink"/>
            <w:noProof/>
          </w:rPr>
          <w:t>Building up the academic space profile</w:t>
        </w:r>
        <w:r w:rsidR="00D64A28">
          <w:rPr>
            <w:noProof/>
            <w:webHidden/>
          </w:rPr>
          <w:tab/>
        </w:r>
        <w:r w:rsidR="00047E09">
          <w:rPr>
            <w:noProof/>
            <w:webHidden/>
          </w:rPr>
          <w:fldChar w:fldCharType="begin"/>
        </w:r>
        <w:r w:rsidR="00D64A28">
          <w:rPr>
            <w:noProof/>
            <w:webHidden/>
          </w:rPr>
          <w:instrText xml:space="preserve"> PAGEREF _Toc257210536 \h </w:instrText>
        </w:r>
        <w:r w:rsidR="00047E09">
          <w:rPr>
            <w:noProof/>
            <w:webHidden/>
          </w:rPr>
        </w:r>
        <w:r w:rsidR="00047E09">
          <w:rPr>
            <w:noProof/>
            <w:webHidden/>
          </w:rPr>
          <w:fldChar w:fldCharType="separate"/>
        </w:r>
        <w:r w:rsidR="00340977">
          <w:rPr>
            <w:noProof/>
            <w:webHidden/>
          </w:rPr>
          <w:t>3</w:t>
        </w:r>
        <w:r w:rsidR="00047E09">
          <w:rPr>
            <w:noProof/>
            <w:webHidden/>
          </w:rPr>
          <w:fldChar w:fldCharType="end"/>
        </w:r>
      </w:hyperlink>
    </w:p>
    <w:p w:rsidR="00D64A28" w:rsidRDefault="00B975BF">
      <w:pPr>
        <w:pStyle w:val="TOC1"/>
        <w:rPr>
          <w:b w:val="0"/>
          <w:noProof/>
          <w:sz w:val="22"/>
          <w:szCs w:val="22"/>
          <w:lang w:eastAsia="en-GB"/>
        </w:rPr>
      </w:pPr>
      <w:hyperlink w:anchor="_Toc257210537" w:history="1">
        <w:r w:rsidR="00D64A28" w:rsidRPr="00D16667">
          <w:rPr>
            <w:rStyle w:val="Hyperlink"/>
            <w:noProof/>
          </w:rPr>
          <w:t>3</w:t>
        </w:r>
        <w:r w:rsidR="00D64A28">
          <w:rPr>
            <w:b w:val="0"/>
            <w:noProof/>
            <w:sz w:val="22"/>
            <w:szCs w:val="22"/>
            <w:lang w:eastAsia="en-GB"/>
          </w:rPr>
          <w:tab/>
        </w:r>
        <w:r w:rsidR="00D64A28" w:rsidRPr="00D16667">
          <w:rPr>
            <w:rStyle w:val="Hyperlink"/>
            <w:noProof/>
          </w:rPr>
          <w:t>Building up the support space profile</w:t>
        </w:r>
        <w:r w:rsidR="00D64A28">
          <w:rPr>
            <w:noProof/>
            <w:webHidden/>
          </w:rPr>
          <w:tab/>
        </w:r>
        <w:r w:rsidR="00047E09">
          <w:rPr>
            <w:noProof/>
            <w:webHidden/>
          </w:rPr>
          <w:fldChar w:fldCharType="begin"/>
        </w:r>
        <w:r w:rsidR="00D64A28">
          <w:rPr>
            <w:noProof/>
            <w:webHidden/>
          </w:rPr>
          <w:instrText xml:space="preserve"> PAGEREF _Toc257210537 \h </w:instrText>
        </w:r>
        <w:r w:rsidR="00047E09">
          <w:rPr>
            <w:noProof/>
            <w:webHidden/>
          </w:rPr>
        </w:r>
        <w:r w:rsidR="00047E09">
          <w:rPr>
            <w:noProof/>
            <w:webHidden/>
          </w:rPr>
          <w:fldChar w:fldCharType="separate"/>
        </w:r>
        <w:r w:rsidR="00340977">
          <w:rPr>
            <w:noProof/>
            <w:webHidden/>
          </w:rPr>
          <w:t>14</w:t>
        </w:r>
        <w:r w:rsidR="00047E09">
          <w:rPr>
            <w:noProof/>
            <w:webHidden/>
          </w:rPr>
          <w:fldChar w:fldCharType="end"/>
        </w:r>
      </w:hyperlink>
    </w:p>
    <w:p w:rsidR="00D64A28" w:rsidRDefault="00B975BF">
      <w:pPr>
        <w:pStyle w:val="TOC1"/>
        <w:rPr>
          <w:b w:val="0"/>
          <w:noProof/>
          <w:sz w:val="22"/>
          <w:szCs w:val="22"/>
          <w:lang w:eastAsia="en-GB"/>
        </w:rPr>
      </w:pPr>
      <w:hyperlink w:anchor="_Toc257210538" w:history="1">
        <w:r w:rsidR="00D64A28" w:rsidRPr="00D16667">
          <w:rPr>
            <w:rStyle w:val="Hyperlink"/>
            <w:noProof/>
          </w:rPr>
          <w:t>4</w:t>
        </w:r>
        <w:r w:rsidR="00D64A28">
          <w:rPr>
            <w:b w:val="0"/>
            <w:noProof/>
            <w:sz w:val="22"/>
            <w:szCs w:val="22"/>
            <w:lang w:eastAsia="en-GB"/>
          </w:rPr>
          <w:tab/>
        </w:r>
        <w:r w:rsidR="00D64A28" w:rsidRPr="00D16667">
          <w:rPr>
            <w:rStyle w:val="Hyperlink"/>
            <w:noProof/>
          </w:rPr>
          <w:t>List of HESA JACS codes and SAM examples</w:t>
        </w:r>
        <w:r w:rsidR="00D64A28">
          <w:rPr>
            <w:noProof/>
            <w:webHidden/>
          </w:rPr>
          <w:tab/>
        </w:r>
        <w:r w:rsidR="00047E09">
          <w:rPr>
            <w:noProof/>
            <w:webHidden/>
          </w:rPr>
          <w:fldChar w:fldCharType="begin"/>
        </w:r>
        <w:r w:rsidR="00D64A28">
          <w:rPr>
            <w:noProof/>
            <w:webHidden/>
          </w:rPr>
          <w:instrText xml:space="preserve"> PAGEREF _Toc257210538 \h </w:instrText>
        </w:r>
        <w:r w:rsidR="00047E09">
          <w:rPr>
            <w:noProof/>
            <w:webHidden/>
          </w:rPr>
        </w:r>
        <w:r w:rsidR="00047E09">
          <w:rPr>
            <w:noProof/>
            <w:webHidden/>
          </w:rPr>
          <w:fldChar w:fldCharType="separate"/>
        </w:r>
        <w:r w:rsidR="00340977">
          <w:rPr>
            <w:noProof/>
            <w:webHidden/>
          </w:rPr>
          <w:t>16</w:t>
        </w:r>
        <w:r w:rsidR="00047E09">
          <w:rPr>
            <w:noProof/>
            <w:webHidden/>
          </w:rPr>
          <w:fldChar w:fldCharType="end"/>
        </w:r>
      </w:hyperlink>
    </w:p>
    <w:p w:rsidR="004D17D6" w:rsidRPr="000C7097" w:rsidRDefault="00047E09" w:rsidP="001B43EE">
      <w:pPr>
        <w:pStyle w:val="TOC1"/>
        <w:sectPr w:rsidR="004D17D6" w:rsidRPr="000C7097" w:rsidSect="007237EA">
          <w:headerReference w:type="default" r:id="rId18"/>
          <w:footerReference w:type="default" r:id="rId19"/>
          <w:pgSz w:w="11909" w:h="16834" w:code="9"/>
          <w:pgMar w:top="1872" w:right="2160" w:bottom="1872" w:left="2160" w:header="864" w:footer="864" w:gutter="0"/>
          <w:paperSrc w:first="15" w:other="15"/>
          <w:pgNumType w:start="1"/>
          <w:cols w:space="720"/>
          <w:titlePg/>
          <w:docGrid w:linePitch="299"/>
        </w:sectPr>
      </w:pPr>
      <w:r>
        <w:rPr>
          <w:rStyle w:val="Hyperlink"/>
          <w:noProof/>
        </w:rPr>
        <w:fldChar w:fldCharType="end"/>
      </w:r>
    </w:p>
    <w:p w:rsidR="004D17D6" w:rsidRDefault="004D17D6" w:rsidP="001B43EE">
      <w:pPr>
        <w:pStyle w:val="Heading1"/>
      </w:pPr>
      <w:bookmarkStart w:id="1" w:name="_Toc257210535"/>
      <w:r w:rsidRPr="008A7610">
        <w:lastRenderedPageBreak/>
        <w:t>Introduction</w:t>
      </w:r>
      <w:bookmarkEnd w:id="1"/>
    </w:p>
    <w:p w:rsidR="004D17D6" w:rsidRDefault="004D17D6" w:rsidP="003F5017">
      <w:r>
        <w:t>This</w:t>
      </w:r>
      <w:r w:rsidRPr="008A7610">
        <w:t xml:space="preserve"> guide explains a method for deve</w:t>
      </w:r>
      <w:r>
        <w:t xml:space="preserve">loping </w:t>
      </w:r>
      <w:r w:rsidR="00AE68D6">
        <w:t>Space Assessment Models and S</w:t>
      </w:r>
      <w:r>
        <w:t xml:space="preserve">pace </w:t>
      </w:r>
      <w:r w:rsidR="00AE68D6">
        <w:t>P</w:t>
      </w:r>
      <w:r>
        <w:t>rofiles for HEIs.</w:t>
      </w:r>
    </w:p>
    <w:p w:rsidR="004D17D6" w:rsidRDefault="004D17D6" w:rsidP="003F5017">
      <w:r w:rsidRPr="008A7610">
        <w:t>As well as generating space profiles, the approach can assist HEIs in the development and implementation of their Carbon Management Plans by illustrating how choices about methods of delivery and space standards have an impact on predicted amounts of space, and as a consequence on project</w:t>
      </w:r>
      <w:r>
        <w:t>ed levels of carbon emissions.</w:t>
      </w:r>
    </w:p>
    <w:p w:rsidR="00AE68D6" w:rsidRPr="00AE68D6" w:rsidRDefault="00AE68D6" w:rsidP="00AE68D6">
      <w:r>
        <w:t xml:space="preserve">The Space Assessment Models (SAMs) </w:t>
      </w:r>
      <w:r w:rsidRPr="006D1740">
        <w:t>and</w:t>
      </w:r>
      <w:r>
        <w:t xml:space="preserve"> </w:t>
      </w:r>
      <w:r w:rsidRPr="006D1740">
        <w:t>Space Profiles</w:t>
      </w:r>
      <w:r>
        <w:t xml:space="preserve"> guidance are </w:t>
      </w:r>
      <w:r w:rsidRPr="00AE68D6">
        <w:t xml:space="preserve">one part of the AUDE Toolkit for a Sustainable Estate, and </w:t>
      </w:r>
      <w:r>
        <w:t xml:space="preserve">are </w:t>
      </w:r>
      <w:r w:rsidRPr="00AE68D6">
        <w:t xml:space="preserve">designed to be used alongside the </w:t>
      </w:r>
      <w:r>
        <w:t>Model of Estate C</w:t>
      </w:r>
      <w:r w:rsidRPr="008A7610">
        <w:t>ost</w:t>
      </w:r>
      <w:r>
        <w:t>s (MEC)</w:t>
      </w:r>
      <w:r w:rsidRPr="00AE68D6">
        <w:t>. The toolkit aims to provide HEIs with tools to assist them in planning and improving the management of space, in line with the national agenda for greater financial and environmental sustainability.</w:t>
      </w:r>
    </w:p>
    <w:p w:rsidR="004D17D6" w:rsidRDefault="004D17D6" w:rsidP="003F5017">
      <w:r w:rsidRPr="008A7610">
        <w:t>This guid</w:t>
      </w:r>
      <w:r>
        <w:t>ance</w:t>
      </w:r>
      <w:r w:rsidRPr="008A7610">
        <w:t xml:space="preserve"> is provided to:</w:t>
      </w:r>
    </w:p>
    <w:p w:rsidR="004D17D6" w:rsidRPr="008A7610" w:rsidRDefault="004D17D6" w:rsidP="00BF5767">
      <w:pPr>
        <w:numPr>
          <w:ilvl w:val="0"/>
          <w:numId w:val="18"/>
        </w:numPr>
      </w:pPr>
      <w:r w:rsidRPr="008A7610">
        <w:t>Explain how examples of discipline-based space profiles</w:t>
      </w:r>
      <w:r w:rsidR="00D046CC">
        <w:t xml:space="preserve"> (space assessment models)</w:t>
      </w:r>
      <w:r w:rsidRPr="008A7610">
        <w:t xml:space="preserve"> have been </w:t>
      </w:r>
      <w:r w:rsidR="00D931A2" w:rsidRPr="008A7610">
        <w:t>developed and</w:t>
      </w:r>
      <w:r w:rsidRPr="008A7610">
        <w:t xml:space="preserve"> how they can be used by individual HEIs for their own space analysis.</w:t>
      </w:r>
    </w:p>
    <w:p w:rsidR="004D17D6" w:rsidRPr="008A7610" w:rsidRDefault="004D17D6" w:rsidP="00BF5767">
      <w:pPr>
        <w:numPr>
          <w:ilvl w:val="0"/>
          <w:numId w:val="18"/>
        </w:numPr>
      </w:pPr>
      <w:r w:rsidRPr="008A7610">
        <w:t>Show how ratios can be applied to non-academic space to gain an insight into assessments of support space.</w:t>
      </w:r>
    </w:p>
    <w:p w:rsidR="004D17D6" w:rsidRDefault="004D17D6" w:rsidP="00BF5767">
      <w:pPr>
        <w:numPr>
          <w:ilvl w:val="0"/>
          <w:numId w:val="18"/>
        </w:numPr>
      </w:pPr>
      <w:r w:rsidRPr="008A7610">
        <w:t>Provide a link between the amount of space generated by a) and b) and predicted full space costs based on the estate cost model and predicted notional carbon emissions using data from EMS.</w:t>
      </w:r>
    </w:p>
    <w:p w:rsidR="004D17D6" w:rsidRDefault="00D046CC" w:rsidP="003F5017">
      <w:r>
        <w:t xml:space="preserve">Space profiles provide an indication of how much and what type of space an institution may need based on its numbers of student and staff and range of activities. Space assessment models are spreadsheet based tools for assessing academic space needs. The ratios applied to support space are derived from EMS data. </w:t>
      </w:r>
      <w:r w:rsidR="004D17D6" w:rsidRPr="008A7610">
        <w:t xml:space="preserve">Together, the space profiles generated by space assessment models and the ratios for support space are the equivalent of non-residential net internal space as reported in EMS, excluding the two EMS categories of “other space” and “vacant space” as illustrated in </w:t>
      </w:r>
      <w:r w:rsidR="00047E09">
        <w:fldChar w:fldCharType="begin"/>
      </w:r>
      <w:r w:rsidR="004D17D6">
        <w:instrText xml:space="preserve"> REF _Ref254776663 \h </w:instrText>
      </w:r>
      <w:r w:rsidR="00047E09">
        <w:fldChar w:fldCharType="separate"/>
      </w:r>
      <w:r w:rsidR="00340977">
        <w:t xml:space="preserve">Chart </w:t>
      </w:r>
      <w:r w:rsidR="00340977">
        <w:rPr>
          <w:noProof/>
        </w:rPr>
        <w:t>1</w:t>
      </w:r>
      <w:r w:rsidR="00047E09">
        <w:fldChar w:fldCharType="end"/>
      </w:r>
      <w:r w:rsidR="004D17D6" w:rsidRPr="008A7610">
        <w:t>.</w:t>
      </w:r>
    </w:p>
    <w:p w:rsidR="004D17D6" w:rsidRDefault="004D17D6" w:rsidP="003F5017">
      <w:r>
        <w:t>HEIs can use the principles described in the guidance to consider the whole of their estate or components within it, such as the space needs associated with an individual site or at the level of a faculty, school or department.</w:t>
      </w:r>
    </w:p>
    <w:tbl>
      <w:tblPr>
        <w:tblW w:w="0" w:type="auto"/>
        <w:tblLayout w:type="fixed"/>
        <w:tblLook w:val="0000" w:firstRow="0" w:lastRow="0" w:firstColumn="0" w:lastColumn="0" w:noHBand="0" w:noVBand="0"/>
      </w:tblPr>
      <w:tblGrid>
        <w:gridCol w:w="7805"/>
      </w:tblGrid>
      <w:tr w:rsidR="004D17D6" w:rsidRPr="0095577D" w:rsidTr="00BF5767">
        <w:trPr>
          <w:tblHeader/>
        </w:trPr>
        <w:tc>
          <w:tcPr>
            <w:tcW w:w="7805" w:type="dxa"/>
            <w:tcBorders>
              <w:top w:val="single" w:sz="4" w:space="0" w:color="808080"/>
              <w:left w:val="single" w:sz="4" w:space="0" w:color="808080"/>
              <w:bottom w:val="single" w:sz="4" w:space="0" w:color="808080"/>
              <w:right w:val="single" w:sz="4" w:space="0" w:color="808080"/>
            </w:tcBorders>
            <w:shd w:val="pct10" w:color="auto" w:fill="auto"/>
          </w:tcPr>
          <w:p w:rsidR="004D17D6" w:rsidRPr="0095577D" w:rsidRDefault="004D17D6" w:rsidP="00BF5767">
            <w:pPr>
              <w:pStyle w:val="StyleCaptionCalibriBefore14ptAfter14pt"/>
              <w:keepNext/>
            </w:pPr>
            <w:bookmarkStart w:id="2" w:name="_Ref254776663"/>
            <w:r>
              <w:lastRenderedPageBreak/>
              <w:t xml:space="preserve">Chart </w:t>
            </w:r>
            <w:r w:rsidR="00B975BF">
              <w:fldChar w:fldCharType="begin"/>
            </w:r>
            <w:r w:rsidR="00B975BF">
              <w:instrText xml:space="preserve"> SEQ Figure \* ARABIC </w:instrText>
            </w:r>
            <w:r w:rsidR="00B975BF">
              <w:fldChar w:fldCharType="separate"/>
            </w:r>
            <w:r w:rsidR="00340977">
              <w:rPr>
                <w:noProof/>
              </w:rPr>
              <w:t>1</w:t>
            </w:r>
            <w:r w:rsidR="00B975BF">
              <w:rPr>
                <w:noProof/>
              </w:rPr>
              <w:fldChar w:fldCharType="end"/>
            </w:r>
            <w:bookmarkEnd w:id="2"/>
            <w:r w:rsidRPr="0095577D">
              <w:t xml:space="preserve">: </w:t>
            </w:r>
            <w:r>
              <w:t xml:space="preserve">Distribution </w:t>
            </w:r>
            <w:r w:rsidRPr="008A7610">
              <w:t xml:space="preserve">of non-residential space by </w:t>
            </w:r>
            <w:smartTag w:uri="urn:schemas-microsoft-com:office:smarttags" w:element="place">
              <w:r w:rsidRPr="008A7610">
                <w:t>EMS</w:t>
              </w:r>
            </w:smartTag>
            <w:r w:rsidRPr="008A7610">
              <w:t xml:space="preserve"> category</w:t>
            </w:r>
          </w:p>
        </w:tc>
      </w:tr>
    </w:tbl>
    <w:p w:rsidR="004D17D6" w:rsidRPr="008A7610" w:rsidRDefault="00B975BF" w:rsidP="001A086E">
      <w:pPr>
        <w:keepNext/>
        <w:keepLines/>
        <w:pBdr>
          <w:bottom w:val="single" w:sz="4" w:space="1" w:color="808080"/>
        </w:pBdr>
        <w:spacing w:after="0"/>
        <w:jc w:val="center"/>
      </w:pPr>
      <w:r>
        <w:rPr>
          <w:noProof/>
          <w:lang w:eastAsia="en-GB"/>
        </w:rPr>
        <w:drawing>
          <wp:inline distT="0" distB="0" distL="0" distR="0">
            <wp:extent cx="4752975" cy="2819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l="1117" t="1860" r="938" b="1563"/>
                    <a:stretch>
                      <a:fillRect/>
                    </a:stretch>
                  </pic:blipFill>
                  <pic:spPr bwMode="auto">
                    <a:xfrm>
                      <a:off x="0" y="0"/>
                      <a:ext cx="4752975" cy="2819400"/>
                    </a:xfrm>
                    <a:prstGeom prst="rect">
                      <a:avLst/>
                    </a:prstGeom>
                    <a:noFill/>
                    <a:ln>
                      <a:noFill/>
                    </a:ln>
                  </pic:spPr>
                </pic:pic>
              </a:graphicData>
            </a:graphic>
          </wp:inline>
        </w:drawing>
      </w:r>
    </w:p>
    <w:p w:rsidR="004D17D6" w:rsidRPr="004563CC" w:rsidRDefault="004D17D6" w:rsidP="004563CC">
      <w:pPr>
        <w:pStyle w:val="SourceText"/>
      </w:pPr>
      <w:r w:rsidRPr="008A7610">
        <w:t>Source: EMS 2009 report</w:t>
      </w:r>
    </w:p>
    <w:p w:rsidR="004D17D6" w:rsidRDefault="004D17D6" w:rsidP="00BF5767">
      <w:pPr>
        <w:pStyle w:val="Heading1"/>
        <w:sectPr w:rsidR="004D17D6" w:rsidSect="007237EA">
          <w:footerReference w:type="default" r:id="rId21"/>
          <w:pgSz w:w="11909" w:h="16834" w:code="9"/>
          <w:pgMar w:top="1872" w:right="2160" w:bottom="1872" w:left="2160" w:header="864" w:footer="864" w:gutter="0"/>
          <w:paperSrc w:first="15" w:other="15"/>
          <w:pgNumType w:start="1"/>
          <w:cols w:space="720"/>
          <w:docGrid w:linePitch="299"/>
        </w:sectPr>
      </w:pPr>
    </w:p>
    <w:p w:rsidR="004D17D6" w:rsidRDefault="004D17D6" w:rsidP="00BF5767">
      <w:pPr>
        <w:pStyle w:val="Heading1"/>
      </w:pPr>
      <w:bookmarkStart w:id="3" w:name="_Toc257210536"/>
      <w:r w:rsidRPr="008A7610">
        <w:lastRenderedPageBreak/>
        <w:t>Building up the academic space profile</w:t>
      </w:r>
      <w:bookmarkEnd w:id="3"/>
    </w:p>
    <w:p w:rsidR="004D17D6" w:rsidRDefault="004D17D6" w:rsidP="00BF5767">
      <w:pPr>
        <w:pStyle w:val="Heading2"/>
      </w:pPr>
      <w:r w:rsidRPr="008A7610">
        <w:t>Background to space assessment models</w:t>
      </w:r>
    </w:p>
    <w:p w:rsidR="004D17D6" w:rsidRDefault="004D17D6" w:rsidP="003F5017">
      <w:r w:rsidRPr="008A7610">
        <w:t xml:space="preserve">Space assessment models (SAMs) generate space profiles which are similar to the </w:t>
      </w:r>
      <w:smartTag w:uri="urn:schemas-microsoft-com:office:smarttags" w:element="place">
        <w:r w:rsidRPr="008A7610">
          <w:t>EMS</w:t>
        </w:r>
      </w:smartTag>
      <w:r w:rsidRPr="008A7610">
        <w:t xml:space="preserve"> definition of academic space.</w:t>
      </w:r>
    </w:p>
    <w:p w:rsidR="004D17D6" w:rsidRDefault="004D17D6" w:rsidP="003F5017">
      <w:r w:rsidRPr="008A7610">
        <w:t>SAMs are based on the same principles as the method used to calculate UGC and PCFC space norms.  For a fuller explanation of how norms were developed, please refer to the SMG report A Review of Space Norms</w:t>
      </w:r>
      <w:r>
        <w:rPr>
          <w:rStyle w:val="FootnoteReference"/>
        </w:rPr>
        <w:footnoteReference w:id="1"/>
      </w:r>
      <w:r w:rsidRPr="008A7610">
        <w:t>.</w:t>
      </w:r>
    </w:p>
    <w:p w:rsidR="004D17D6" w:rsidRDefault="004D17D6" w:rsidP="003F5017">
      <w:r w:rsidRPr="008A7610">
        <w:t>In summary, norms were a function of a series of coefficients which varied according to academic discipline. They included:</w:t>
      </w:r>
    </w:p>
    <w:p w:rsidR="004D17D6" w:rsidRPr="008A7610" w:rsidRDefault="004D17D6" w:rsidP="00BF5767">
      <w:pPr>
        <w:numPr>
          <w:ilvl w:val="0"/>
          <w:numId w:val="18"/>
        </w:numPr>
      </w:pPr>
      <w:r w:rsidRPr="008A7610">
        <w:t>Total hours of on-campus contact or learning hours per week per student</w:t>
      </w:r>
    </w:p>
    <w:p w:rsidR="004D17D6" w:rsidRPr="008A7610" w:rsidRDefault="004D17D6" w:rsidP="00BF5767">
      <w:pPr>
        <w:numPr>
          <w:ilvl w:val="0"/>
          <w:numId w:val="18"/>
        </w:numPr>
      </w:pPr>
      <w:r w:rsidRPr="008A7610">
        <w:t>Breakdown of those hours into different types of activity, for example lectures or laboratory hours</w:t>
      </w:r>
    </w:p>
    <w:p w:rsidR="004D17D6" w:rsidRPr="008A7610" w:rsidRDefault="004D17D6" w:rsidP="00BF5767">
      <w:pPr>
        <w:numPr>
          <w:ilvl w:val="0"/>
          <w:numId w:val="18"/>
        </w:numPr>
      </w:pPr>
      <w:r w:rsidRPr="008A7610">
        <w:t>Total hours that the space is available per week to be used</w:t>
      </w:r>
    </w:p>
    <w:p w:rsidR="004D17D6" w:rsidRPr="008A7610" w:rsidRDefault="004D17D6" w:rsidP="00BF5767">
      <w:pPr>
        <w:numPr>
          <w:ilvl w:val="0"/>
          <w:numId w:val="18"/>
        </w:numPr>
      </w:pPr>
      <w:r w:rsidRPr="008A7610">
        <w:t>Predicted frequency and occupancy rates</w:t>
      </w:r>
    </w:p>
    <w:p w:rsidR="004D17D6" w:rsidRPr="008A7610" w:rsidRDefault="004D17D6" w:rsidP="00BF5767">
      <w:pPr>
        <w:numPr>
          <w:ilvl w:val="0"/>
          <w:numId w:val="18"/>
        </w:numPr>
      </w:pPr>
      <w:r w:rsidRPr="008A7610">
        <w:t>Space standards per workplace</w:t>
      </w:r>
    </w:p>
    <w:p w:rsidR="004D17D6" w:rsidRDefault="004D17D6" w:rsidP="00BF5767">
      <w:pPr>
        <w:numPr>
          <w:ilvl w:val="0"/>
          <w:numId w:val="18"/>
        </w:numPr>
      </w:pPr>
      <w:r w:rsidRPr="008A7610">
        <w:t>Staff:student ratios.</w:t>
      </w:r>
    </w:p>
    <w:p w:rsidR="004D17D6" w:rsidRDefault="004D17D6" w:rsidP="003F5017">
      <w:r w:rsidRPr="008A7610">
        <w:t>The Review of Norms report noted that because of the degree of variation in these coefficients across the sector since the norms were devised, it was inappropriate to select a single set of up to date coefficients for their calculation that would apply to all institutions.  AUDE still considers that to be the position.</w:t>
      </w:r>
    </w:p>
    <w:p w:rsidR="004D17D6" w:rsidRDefault="004D17D6" w:rsidP="00BF5767">
      <w:pPr>
        <w:pStyle w:val="Heading2"/>
      </w:pPr>
      <w:r w:rsidRPr="008A7610">
        <w:t>Examples of space assessment models</w:t>
      </w:r>
    </w:p>
    <w:p w:rsidR="004D17D6" w:rsidRDefault="004D17D6" w:rsidP="003F5017">
      <w:r w:rsidRPr="008A7610">
        <w:t xml:space="preserve">Against this background and to help HEIs to build up their own space profiles, AUDE is now providing a series of SAM examples for academic disciplines to act as a starting point for HEIs to develop their own institutional profiles. </w:t>
      </w:r>
    </w:p>
    <w:p w:rsidR="004D17D6" w:rsidRDefault="004D17D6" w:rsidP="003F5017">
      <w:r w:rsidRPr="008A7610">
        <w:t xml:space="preserve">The examples are listed in </w:t>
      </w:r>
      <w:r w:rsidR="00047E09">
        <w:fldChar w:fldCharType="begin"/>
      </w:r>
      <w:r>
        <w:instrText xml:space="preserve"> REF _Ref254194028 \h </w:instrText>
      </w:r>
      <w:r w:rsidR="00047E09">
        <w:fldChar w:fldCharType="separate"/>
      </w:r>
      <w:r w:rsidR="00340977">
        <w:rPr>
          <w:b/>
          <w:bCs/>
          <w:lang w:val="en-US"/>
        </w:rPr>
        <w:t>Error! Reference source not found.</w:t>
      </w:r>
      <w:r w:rsidR="00047E09">
        <w:fldChar w:fldCharType="end"/>
      </w:r>
      <w:r w:rsidRPr="008A7610">
        <w:t xml:space="preserve">. Spreadsheets supporting each example are available on the AUDE </w:t>
      </w:r>
      <w:r>
        <w:t>website</w:t>
      </w:r>
      <w:r w:rsidR="00AE68D6">
        <w:rPr>
          <w:rStyle w:val="FootnoteReference"/>
        </w:rPr>
        <w:footnoteReference w:id="2"/>
      </w:r>
      <w:r>
        <w:t xml:space="preserve"> </w:t>
      </w:r>
      <w:r w:rsidRPr="008A7610">
        <w:t xml:space="preserve">and </w:t>
      </w:r>
      <w:r w:rsidR="001D6519">
        <w:t>via</w:t>
      </w:r>
      <w:r>
        <w:t xml:space="preserve"> a link from the </w:t>
      </w:r>
      <w:r w:rsidRPr="008A7610">
        <w:t>SMG website</w:t>
      </w:r>
      <w:r>
        <w:rPr>
          <w:rStyle w:val="FootnoteReference"/>
        </w:rPr>
        <w:footnoteReference w:id="3"/>
      </w:r>
      <w:r w:rsidRPr="008A7610">
        <w:t>.</w:t>
      </w:r>
    </w:p>
    <w:p w:rsidR="004D17D6" w:rsidRDefault="004D17D6" w:rsidP="003F5017">
      <w:r w:rsidRPr="001F4E2C">
        <w:lastRenderedPageBreak/>
        <w:t xml:space="preserve">Each SAM example is linked to HESA JACS </w:t>
      </w:r>
      <w:r w:rsidR="00726728">
        <w:t xml:space="preserve">(Joint Academic Coding System) </w:t>
      </w:r>
      <w:r w:rsidRPr="00396A62">
        <w:t xml:space="preserve">subject groups </w:t>
      </w:r>
      <w:r w:rsidRPr="001F4E2C">
        <w:t xml:space="preserve">for ease of collecting data on staff and student numbers. A full list of </w:t>
      </w:r>
      <w:r w:rsidRPr="00396A62">
        <w:t xml:space="preserve">the principal subjects in the </w:t>
      </w:r>
      <w:r w:rsidRPr="001F4E2C">
        <w:t xml:space="preserve">HESA JACS </w:t>
      </w:r>
      <w:r w:rsidRPr="00396A62">
        <w:t xml:space="preserve">subject groups </w:t>
      </w:r>
      <w:r w:rsidRPr="001F4E2C">
        <w:t>is available on the HESA website</w:t>
      </w:r>
      <w:r>
        <w:rPr>
          <w:rStyle w:val="FootnoteReference"/>
        </w:rPr>
        <w:footnoteReference w:id="4"/>
      </w:r>
      <w:r w:rsidRPr="001F4E2C">
        <w:t>, and the current version is included in Appendix 1.</w:t>
      </w:r>
    </w:p>
    <w:p w:rsidR="004D17D6" w:rsidRDefault="004D17D6" w:rsidP="003F5017">
      <w:r w:rsidRPr="008A7610">
        <w:t xml:space="preserve">The HESA JACS codes include a number of individual subjects. The SAM examples relate to one subject within each main code. In some cases, there is a wide range of subjects within each main code, and the SAM example should not be assumed to be relevant to all the others within it. Using the </w:t>
      </w:r>
      <w:r>
        <w:t xml:space="preserve">common </w:t>
      </w:r>
      <w:r w:rsidRPr="008A7610">
        <w:t>principles on which all the SAM examples are based, however, there is scope to derive additional models to generate space assessments for other subjec</w:t>
      </w:r>
      <w:r>
        <w:t>ts by changing the assumptions used and the input data as required. This can be done by taking the SAM example which most closely resembles the new subject to be assessed and modifying the figures in the example, such as the number of hours by type of space, the staff:student ratios and any specialist research space needs.</w:t>
      </w:r>
    </w:p>
    <w:p w:rsidR="004D17D6" w:rsidRDefault="004D17D6" w:rsidP="003F5017">
      <w:r w:rsidRPr="008A7610">
        <w:t xml:space="preserve">As noted earlier, the area per FTE is similar to the academic area per student FTE reported in </w:t>
      </w:r>
      <w:smartTag w:uri="urn:schemas-microsoft-com:office:smarttags" w:element="place">
        <w:r w:rsidRPr="008A7610">
          <w:t>EMS</w:t>
        </w:r>
      </w:smartTag>
      <w:r w:rsidRPr="008A7610">
        <w:t xml:space="preserve">, including teaching and research core space and teaching and research office space. The academic area per student FTE given in the 2009 </w:t>
      </w:r>
      <w:smartTag w:uri="urn:schemas-microsoft-com:office:smarttags" w:element="place">
        <w:r w:rsidRPr="008A7610">
          <w:t>EMS</w:t>
        </w:r>
      </w:smartTag>
      <w:r w:rsidRPr="008A7610">
        <w:t xml:space="preserve"> report is included at the end of the table for information.</w:t>
      </w:r>
    </w:p>
    <w:p w:rsidR="004D17D6" w:rsidRPr="00004E60" w:rsidRDefault="00340977" w:rsidP="009C7496">
      <w:r>
        <w:br w:type="page"/>
      </w:r>
    </w:p>
    <w:tbl>
      <w:tblPr>
        <w:tblW w:w="8340" w:type="dxa"/>
        <w:tblInd w:w="89" w:type="dxa"/>
        <w:tblBorders>
          <w:top w:val="single" w:sz="4" w:space="0" w:color="auto"/>
          <w:left w:val="single" w:sz="4" w:space="0" w:color="auto"/>
          <w:right w:val="single" w:sz="4" w:space="0" w:color="auto"/>
        </w:tblBorders>
        <w:tblLook w:val="04A0" w:firstRow="1" w:lastRow="0" w:firstColumn="1" w:lastColumn="0" w:noHBand="0" w:noVBand="1"/>
      </w:tblPr>
      <w:tblGrid>
        <w:gridCol w:w="954"/>
        <w:gridCol w:w="3100"/>
        <w:gridCol w:w="3206"/>
        <w:gridCol w:w="1080"/>
      </w:tblGrid>
      <w:tr w:rsidR="00D97DBF" w:rsidRPr="00D97DBF" w:rsidTr="00517342">
        <w:trPr>
          <w:trHeight w:val="315"/>
        </w:trPr>
        <w:tc>
          <w:tcPr>
            <w:tcW w:w="8340" w:type="dxa"/>
            <w:gridSpan w:val="4"/>
            <w:tcBorders>
              <w:top w:val="single" w:sz="4" w:space="0" w:color="auto"/>
              <w:bottom w:val="single" w:sz="4" w:space="0" w:color="auto"/>
            </w:tcBorders>
            <w:shd w:val="clear" w:color="auto" w:fill="auto"/>
            <w:noWrap/>
            <w:vAlign w:val="center"/>
            <w:hideMark/>
          </w:tcPr>
          <w:p w:rsidR="00D97DBF" w:rsidRPr="00517342" w:rsidRDefault="00D97DBF" w:rsidP="00517342">
            <w:pPr>
              <w:spacing w:after="0"/>
              <w:jc w:val="center"/>
              <w:rPr>
                <w:b/>
                <w:bCs/>
                <w:color w:val="000000"/>
                <w:sz w:val="28"/>
                <w:szCs w:val="28"/>
                <w:lang w:eastAsia="en-GB"/>
              </w:rPr>
            </w:pPr>
            <w:bookmarkStart w:id="4" w:name="RANGE!A1"/>
            <w:r w:rsidRPr="00517342">
              <w:rPr>
                <w:b/>
                <w:bCs/>
                <w:color w:val="000000"/>
                <w:sz w:val="28"/>
                <w:szCs w:val="28"/>
                <w:lang w:eastAsia="en-GB"/>
              </w:rPr>
              <w:t xml:space="preserve">Table 1: </w:t>
            </w:r>
            <w:bookmarkEnd w:id="4"/>
            <w:r w:rsidRPr="00517342">
              <w:rPr>
                <w:b/>
                <w:bCs/>
                <w:color w:val="000000"/>
                <w:sz w:val="28"/>
                <w:szCs w:val="28"/>
                <w:lang w:eastAsia="en-GB"/>
              </w:rPr>
              <w:t>Space Assessment Model (SAM) examples by subject areas</w:t>
            </w:r>
          </w:p>
          <w:p w:rsidR="00340977" w:rsidRPr="00D97DBF" w:rsidRDefault="00340977" w:rsidP="00517342">
            <w:pPr>
              <w:spacing w:after="0"/>
              <w:jc w:val="center"/>
              <w:rPr>
                <w:b/>
                <w:bCs/>
                <w:color w:val="000000"/>
                <w:lang w:eastAsia="en-GB"/>
              </w:rPr>
            </w:pPr>
          </w:p>
        </w:tc>
      </w:tr>
      <w:tr w:rsidR="00D97DBF" w:rsidRPr="00D97DBF" w:rsidTr="00340977">
        <w:trPr>
          <w:trHeight w:val="300"/>
        </w:trPr>
        <w:tc>
          <w:tcPr>
            <w:tcW w:w="954" w:type="dxa"/>
            <w:tcBorders>
              <w:top w:val="single" w:sz="4" w:space="0" w:color="auto"/>
              <w:bottom w:val="single" w:sz="4" w:space="0" w:color="auto"/>
              <w:right w:val="single" w:sz="4" w:space="0" w:color="auto"/>
            </w:tcBorders>
            <w:shd w:val="clear" w:color="auto" w:fill="auto"/>
            <w:noWrap/>
            <w:vAlign w:val="bottom"/>
            <w:hideMark/>
          </w:tcPr>
          <w:p w:rsidR="00D97DBF" w:rsidRPr="00D97DBF" w:rsidRDefault="00D97DBF" w:rsidP="00D97DBF">
            <w:pPr>
              <w:spacing w:after="0"/>
              <w:jc w:val="center"/>
              <w:rPr>
                <w:b/>
                <w:bCs/>
                <w:color w:val="000000"/>
                <w:sz w:val="22"/>
                <w:szCs w:val="22"/>
                <w:lang w:eastAsia="en-GB"/>
              </w:rPr>
            </w:pPr>
            <w:r w:rsidRPr="00D97DBF">
              <w:rPr>
                <w:b/>
                <w:bCs/>
                <w:color w:val="000000"/>
                <w:sz w:val="22"/>
                <w:szCs w:val="22"/>
                <w:lang w:eastAsia="en-GB"/>
              </w:rPr>
              <w:t>JACS code</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D97DBF" w:rsidRPr="00D97DBF" w:rsidRDefault="00D97DBF" w:rsidP="00D97DBF">
            <w:pPr>
              <w:spacing w:after="0"/>
              <w:jc w:val="left"/>
              <w:rPr>
                <w:b/>
                <w:bCs/>
                <w:color w:val="000000"/>
                <w:sz w:val="22"/>
                <w:szCs w:val="22"/>
                <w:lang w:eastAsia="en-GB"/>
              </w:rPr>
            </w:pPr>
            <w:r w:rsidRPr="00D97DBF">
              <w:rPr>
                <w:b/>
                <w:bCs/>
                <w:color w:val="000000"/>
                <w:sz w:val="22"/>
                <w:szCs w:val="22"/>
                <w:lang w:eastAsia="en-GB"/>
              </w:rPr>
              <w:t>Subject areas</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rsidR="00D97DBF" w:rsidRPr="00340977" w:rsidRDefault="00D97DBF" w:rsidP="00D97DBF">
            <w:pPr>
              <w:spacing w:after="0"/>
              <w:jc w:val="left"/>
              <w:rPr>
                <w:b/>
                <w:color w:val="000000"/>
                <w:sz w:val="22"/>
                <w:szCs w:val="22"/>
                <w:lang w:eastAsia="en-GB"/>
              </w:rPr>
            </w:pPr>
            <w:r w:rsidRPr="00340977">
              <w:rPr>
                <w:b/>
                <w:color w:val="000000"/>
                <w:sz w:val="22"/>
                <w:szCs w:val="22"/>
                <w:lang w:eastAsia="en-GB"/>
              </w:rPr>
              <w:t xml:space="preserve">SAM subject group example </w:t>
            </w:r>
          </w:p>
        </w:tc>
        <w:tc>
          <w:tcPr>
            <w:tcW w:w="1080" w:type="dxa"/>
            <w:tcBorders>
              <w:top w:val="single" w:sz="4" w:space="0" w:color="auto"/>
              <w:left w:val="single" w:sz="4" w:space="0" w:color="auto"/>
              <w:bottom w:val="single" w:sz="4" w:space="0" w:color="auto"/>
            </w:tcBorders>
            <w:shd w:val="clear" w:color="auto" w:fill="auto"/>
            <w:noWrap/>
            <w:hideMark/>
          </w:tcPr>
          <w:p w:rsidR="00D97DBF" w:rsidRPr="00340977" w:rsidRDefault="00D97DBF" w:rsidP="00D97DBF">
            <w:pPr>
              <w:spacing w:after="0"/>
              <w:jc w:val="left"/>
              <w:rPr>
                <w:b/>
                <w:sz w:val="22"/>
                <w:szCs w:val="22"/>
                <w:lang w:eastAsia="en-GB"/>
              </w:rPr>
            </w:pPr>
            <w:r w:rsidRPr="00340977">
              <w:rPr>
                <w:b/>
                <w:sz w:val="22"/>
                <w:szCs w:val="22"/>
                <w:lang w:eastAsia="en-GB"/>
              </w:rPr>
              <w:t>NIA per FTE</w:t>
            </w:r>
          </w:p>
        </w:tc>
      </w:tr>
      <w:tr w:rsidR="00D97DBF" w:rsidRPr="00D97DBF" w:rsidTr="00340977">
        <w:trPr>
          <w:trHeight w:val="300"/>
        </w:trPr>
        <w:tc>
          <w:tcPr>
            <w:tcW w:w="954" w:type="dxa"/>
            <w:tcBorders>
              <w:top w:val="single" w:sz="4" w:space="0" w:color="auto"/>
              <w:right w:val="single" w:sz="4" w:space="0" w:color="auto"/>
            </w:tcBorders>
            <w:shd w:val="clear" w:color="auto" w:fill="auto"/>
            <w:noWrap/>
            <w:vAlign w:val="bottom"/>
            <w:hideMark/>
          </w:tcPr>
          <w:p w:rsidR="00D97DBF" w:rsidRPr="00517342" w:rsidRDefault="00D97DBF" w:rsidP="00D97DBF">
            <w:pPr>
              <w:spacing w:after="0"/>
              <w:jc w:val="center"/>
              <w:rPr>
                <w:color w:val="000000"/>
                <w:sz w:val="20"/>
                <w:szCs w:val="20"/>
                <w:lang w:eastAsia="en-GB"/>
              </w:rPr>
            </w:pPr>
            <w:r w:rsidRPr="00517342">
              <w:rPr>
                <w:color w:val="000000"/>
                <w:sz w:val="20"/>
                <w:szCs w:val="20"/>
                <w:lang w:eastAsia="en-GB"/>
              </w:rPr>
              <w:t>A</w:t>
            </w:r>
          </w:p>
        </w:tc>
        <w:tc>
          <w:tcPr>
            <w:tcW w:w="3100" w:type="dxa"/>
            <w:tcBorders>
              <w:top w:val="single" w:sz="4" w:space="0" w:color="auto"/>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Medicine and dentistry</w:t>
            </w:r>
          </w:p>
        </w:tc>
        <w:tc>
          <w:tcPr>
            <w:tcW w:w="3206" w:type="dxa"/>
            <w:tcBorders>
              <w:top w:val="single" w:sz="4" w:space="0" w:color="auto"/>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Pre-clinical medicine</w:t>
            </w:r>
          </w:p>
        </w:tc>
        <w:tc>
          <w:tcPr>
            <w:tcW w:w="1080" w:type="dxa"/>
            <w:tcBorders>
              <w:top w:val="single" w:sz="4" w:space="0" w:color="auto"/>
              <w:left w:val="single" w:sz="4" w:space="0" w:color="auto"/>
            </w:tcBorders>
            <w:shd w:val="clear" w:color="auto" w:fill="auto"/>
            <w:noWrap/>
            <w:hideMark/>
          </w:tcPr>
          <w:p w:rsidR="00D97DBF" w:rsidRPr="00517342" w:rsidRDefault="00D97DBF" w:rsidP="00D97DBF">
            <w:pPr>
              <w:spacing w:after="0"/>
              <w:jc w:val="left"/>
              <w:rPr>
                <w:sz w:val="20"/>
                <w:szCs w:val="20"/>
                <w:lang w:eastAsia="en-GB"/>
              </w:rPr>
            </w:pPr>
            <w:r w:rsidRPr="00517342">
              <w:rPr>
                <w:sz w:val="20"/>
                <w:szCs w:val="20"/>
                <w:lang w:eastAsia="en-GB"/>
              </w:rPr>
              <w:t>5.8</w:t>
            </w:r>
          </w:p>
        </w:tc>
      </w:tr>
      <w:tr w:rsidR="00D97DBF" w:rsidRPr="00D97DBF" w:rsidTr="00340977">
        <w:trPr>
          <w:trHeight w:val="300"/>
        </w:trPr>
        <w:tc>
          <w:tcPr>
            <w:tcW w:w="954" w:type="dxa"/>
            <w:tcBorders>
              <w:top w:val="nil"/>
              <w:right w:val="single" w:sz="4" w:space="0" w:color="auto"/>
            </w:tcBorders>
            <w:shd w:val="clear" w:color="auto" w:fill="auto"/>
            <w:noWrap/>
            <w:vAlign w:val="bottom"/>
            <w:hideMark/>
          </w:tcPr>
          <w:p w:rsidR="00D97DBF" w:rsidRPr="00517342" w:rsidRDefault="00D97DBF" w:rsidP="00D97DBF">
            <w:pPr>
              <w:spacing w:after="0"/>
              <w:jc w:val="center"/>
              <w:rPr>
                <w:color w:val="000000"/>
                <w:sz w:val="20"/>
                <w:szCs w:val="20"/>
                <w:lang w:eastAsia="en-GB"/>
              </w:rPr>
            </w:pPr>
            <w:r w:rsidRPr="00517342">
              <w:rPr>
                <w:color w:val="000000"/>
                <w:sz w:val="20"/>
                <w:szCs w:val="20"/>
                <w:lang w:eastAsia="en-GB"/>
              </w:rPr>
              <w:t>B</w:t>
            </w:r>
          </w:p>
        </w:tc>
        <w:tc>
          <w:tcPr>
            <w:tcW w:w="3100"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Subjects allied to medicine</w:t>
            </w:r>
          </w:p>
        </w:tc>
        <w:tc>
          <w:tcPr>
            <w:tcW w:w="3206"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Nursing</w:t>
            </w:r>
          </w:p>
        </w:tc>
        <w:tc>
          <w:tcPr>
            <w:tcW w:w="1080" w:type="dxa"/>
            <w:tcBorders>
              <w:top w:val="nil"/>
              <w:left w:val="single" w:sz="4" w:space="0" w:color="auto"/>
            </w:tcBorders>
            <w:shd w:val="clear" w:color="auto" w:fill="auto"/>
            <w:noWrap/>
            <w:hideMark/>
          </w:tcPr>
          <w:p w:rsidR="00D97DBF" w:rsidRPr="00517342" w:rsidRDefault="00D97DBF" w:rsidP="00D97DBF">
            <w:pPr>
              <w:spacing w:after="0"/>
              <w:jc w:val="left"/>
              <w:rPr>
                <w:sz w:val="20"/>
                <w:szCs w:val="20"/>
                <w:lang w:eastAsia="en-GB"/>
              </w:rPr>
            </w:pPr>
            <w:r w:rsidRPr="00517342">
              <w:rPr>
                <w:sz w:val="20"/>
                <w:szCs w:val="20"/>
                <w:lang w:eastAsia="en-GB"/>
              </w:rPr>
              <w:t>2.7</w:t>
            </w:r>
          </w:p>
        </w:tc>
      </w:tr>
      <w:tr w:rsidR="00D97DBF" w:rsidRPr="00D97DBF" w:rsidTr="00340977">
        <w:trPr>
          <w:trHeight w:val="600"/>
        </w:trPr>
        <w:tc>
          <w:tcPr>
            <w:tcW w:w="954" w:type="dxa"/>
            <w:tcBorders>
              <w:top w:val="nil"/>
              <w:right w:val="single" w:sz="4" w:space="0" w:color="auto"/>
            </w:tcBorders>
            <w:shd w:val="clear" w:color="auto" w:fill="auto"/>
            <w:noWrap/>
            <w:vAlign w:val="bottom"/>
            <w:hideMark/>
          </w:tcPr>
          <w:p w:rsidR="00D97DBF" w:rsidRPr="00517342" w:rsidRDefault="00D97DBF" w:rsidP="00D97DBF">
            <w:pPr>
              <w:spacing w:after="0"/>
              <w:jc w:val="center"/>
              <w:rPr>
                <w:color w:val="000000"/>
                <w:sz w:val="20"/>
                <w:szCs w:val="20"/>
                <w:lang w:eastAsia="en-GB"/>
              </w:rPr>
            </w:pPr>
            <w:r w:rsidRPr="00517342">
              <w:rPr>
                <w:color w:val="000000"/>
                <w:sz w:val="20"/>
                <w:szCs w:val="20"/>
                <w:lang w:eastAsia="en-GB"/>
              </w:rPr>
              <w:t>C</w:t>
            </w:r>
          </w:p>
        </w:tc>
        <w:tc>
          <w:tcPr>
            <w:tcW w:w="3100"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Biologicial sciences</w:t>
            </w:r>
          </w:p>
        </w:tc>
        <w:tc>
          <w:tcPr>
            <w:tcW w:w="3206"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Molecular Biology, Biophysics and biochemistry</w:t>
            </w:r>
          </w:p>
        </w:tc>
        <w:tc>
          <w:tcPr>
            <w:tcW w:w="1080" w:type="dxa"/>
            <w:tcBorders>
              <w:top w:val="nil"/>
              <w:left w:val="single" w:sz="4" w:space="0" w:color="auto"/>
            </w:tcBorders>
            <w:shd w:val="clear" w:color="auto" w:fill="auto"/>
            <w:noWrap/>
            <w:hideMark/>
          </w:tcPr>
          <w:p w:rsidR="00D97DBF" w:rsidRPr="00517342" w:rsidRDefault="00D97DBF" w:rsidP="00D97DBF">
            <w:pPr>
              <w:spacing w:after="0"/>
              <w:jc w:val="left"/>
              <w:rPr>
                <w:sz w:val="20"/>
                <w:szCs w:val="20"/>
                <w:lang w:eastAsia="en-GB"/>
              </w:rPr>
            </w:pPr>
            <w:r w:rsidRPr="00517342">
              <w:rPr>
                <w:sz w:val="20"/>
                <w:szCs w:val="20"/>
                <w:lang w:eastAsia="en-GB"/>
              </w:rPr>
              <w:t>5.3</w:t>
            </w:r>
          </w:p>
        </w:tc>
      </w:tr>
      <w:tr w:rsidR="00D97DBF" w:rsidRPr="00D97DBF" w:rsidTr="00340977">
        <w:trPr>
          <w:trHeight w:val="300"/>
        </w:trPr>
        <w:tc>
          <w:tcPr>
            <w:tcW w:w="954" w:type="dxa"/>
            <w:tcBorders>
              <w:top w:val="nil"/>
              <w:right w:val="single" w:sz="4" w:space="0" w:color="auto"/>
            </w:tcBorders>
            <w:shd w:val="clear" w:color="auto" w:fill="auto"/>
            <w:noWrap/>
            <w:vAlign w:val="bottom"/>
            <w:hideMark/>
          </w:tcPr>
          <w:p w:rsidR="00D97DBF" w:rsidRPr="00517342" w:rsidRDefault="00D97DBF" w:rsidP="00D97DBF">
            <w:pPr>
              <w:spacing w:after="0"/>
              <w:jc w:val="center"/>
              <w:rPr>
                <w:color w:val="000000"/>
                <w:sz w:val="20"/>
                <w:szCs w:val="20"/>
                <w:lang w:eastAsia="en-GB"/>
              </w:rPr>
            </w:pPr>
            <w:r w:rsidRPr="00517342">
              <w:rPr>
                <w:color w:val="000000"/>
                <w:sz w:val="20"/>
                <w:szCs w:val="20"/>
                <w:lang w:eastAsia="en-GB"/>
              </w:rPr>
              <w:t>D</w:t>
            </w:r>
          </w:p>
        </w:tc>
        <w:tc>
          <w:tcPr>
            <w:tcW w:w="3100"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Veterinary science</w:t>
            </w:r>
          </w:p>
        </w:tc>
        <w:tc>
          <w:tcPr>
            <w:tcW w:w="3206"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Veterinary science</w:t>
            </w:r>
          </w:p>
        </w:tc>
        <w:tc>
          <w:tcPr>
            <w:tcW w:w="1080" w:type="dxa"/>
            <w:tcBorders>
              <w:top w:val="nil"/>
              <w:left w:val="single" w:sz="4" w:space="0" w:color="auto"/>
            </w:tcBorders>
            <w:shd w:val="clear" w:color="auto" w:fill="auto"/>
            <w:noWrap/>
            <w:hideMark/>
          </w:tcPr>
          <w:p w:rsidR="00D97DBF" w:rsidRPr="00517342" w:rsidRDefault="00D97DBF" w:rsidP="00D97DBF">
            <w:pPr>
              <w:spacing w:after="0"/>
              <w:jc w:val="left"/>
              <w:rPr>
                <w:sz w:val="20"/>
                <w:szCs w:val="20"/>
                <w:lang w:eastAsia="en-GB"/>
              </w:rPr>
            </w:pPr>
            <w:r w:rsidRPr="00517342">
              <w:rPr>
                <w:sz w:val="20"/>
                <w:szCs w:val="20"/>
                <w:lang w:eastAsia="en-GB"/>
              </w:rPr>
              <w:t>8.2</w:t>
            </w:r>
          </w:p>
        </w:tc>
      </w:tr>
      <w:tr w:rsidR="00D97DBF" w:rsidRPr="00D97DBF" w:rsidTr="00340977">
        <w:trPr>
          <w:trHeight w:val="600"/>
        </w:trPr>
        <w:tc>
          <w:tcPr>
            <w:tcW w:w="954" w:type="dxa"/>
            <w:tcBorders>
              <w:top w:val="nil"/>
              <w:right w:val="single" w:sz="4" w:space="0" w:color="auto"/>
            </w:tcBorders>
            <w:shd w:val="clear" w:color="auto" w:fill="auto"/>
            <w:noWrap/>
            <w:vAlign w:val="bottom"/>
            <w:hideMark/>
          </w:tcPr>
          <w:p w:rsidR="00D97DBF" w:rsidRPr="00517342" w:rsidRDefault="00D97DBF" w:rsidP="00D97DBF">
            <w:pPr>
              <w:spacing w:after="0"/>
              <w:jc w:val="center"/>
              <w:rPr>
                <w:color w:val="000000"/>
                <w:sz w:val="20"/>
                <w:szCs w:val="20"/>
                <w:lang w:eastAsia="en-GB"/>
              </w:rPr>
            </w:pPr>
            <w:r w:rsidRPr="00517342">
              <w:rPr>
                <w:color w:val="000000"/>
                <w:sz w:val="20"/>
                <w:szCs w:val="20"/>
                <w:lang w:eastAsia="en-GB"/>
              </w:rPr>
              <w:t>D</w:t>
            </w:r>
          </w:p>
        </w:tc>
        <w:tc>
          <w:tcPr>
            <w:tcW w:w="3100"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Agriculture and related subjects</w:t>
            </w:r>
          </w:p>
        </w:tc>
        <w:tc>
          <w:tcPr>
            <w:tcW w:w="3206"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Agriculture</w:t>
            </w:r>
          </w:p>
        </w:tc>
        <w:tc>
          <w:tcPr>
            <w:tcW w:w="1080" w:type="dxa"/>
            <w:tcBorders>
              <w:top w:val="nil"/>
              <w:left w:val="single" w:sz="4" w:space="0" w:color="auto"/>
            </w:tcBorders>
            <w:shd w:val="clear" w:color="auto" w:fill="auto"/>
            <w:noWrap/>
            <w:hideMark/>
          </w:tcPr>
          <w:p w:rsidR="00D97DBF" w:rsidRPr="00517342" w:rsidRDefault="00D97DBF" w:rsidP="00D97DBF">
            <w:pPr>
              <w:spacing w:after="0"/>
              <w:jc w:val="left"/>
              <w:rPr>
                <w:sz w:val="20"/>
                <w:szCs w:val="20"/>
                <w:lang w:eastAsia="en-GB"/>
              </w:rPr>
            </w:pPr>
            <w:r w:rsidRPr="00517342">
              <w:rPr>
                <w:sz w:val="20"/>
                <w:szCs w:val="20"/>
                <w:lang w:eastAsia="en-GB"/>
              </w:rPr>
              <w:t>5.9</w:t>
            </w:r>
          </w:p>
        </w:tc>
      </w:tr>
      <w:tr w:rsidR="00D97DBF" w:rsidRPr="00D97DBF" w:rsidTr="00340977">
        <w:trPr>
          <w:trHeight w:val="300"/>
        </w:trPr>
        <w:tc>
          <w:tcPr>
            <w:tcW w:w="954" w:type="dxa"/>
            <w:tcBorders>
              <w:top w:val="nil"/>
              <w:right w:val="single" w:sz="4" w:space="0" w:color="auto"/>
            </w:tcBorders>
            <w:shd w:val="clear" w:color="auto" w:fill="auto"/>
            <w:noWrap/>
            <w:vAlign w:val="bottom"/>
            <w:hideMark/>
          </w:tcPr>
          <w:p w:rsidR="00D97DBF" w:rsidRPr="00517342" w:rsidRDefault="00D97DBF" w:rsidP="00D97DBF">
            <w:pPr>
              <w:spacing w:after="0"/>
              <w:jc w:val="center"/>
              <w:rPr>
                <w:color w:val="000000"/>
                <w:sz w:val="20"/>
                <w:szCs w:val="20"/>
                <w:lang w:eastAsia="en-GB"/>
              </w:rPr>
            </w:pPr>
            <w:r w:rsidRPr="00517342">
              <w:rPr>
                <w:color w:val="000000"/>
                <w:sz w:val="20"/>
                <w:szCs w:val="20"/>
                <w:lang w:eastAsia="en-GB"/>
              </w:rPr>
              <w:t>F</w:t>
            </w:r>
          </w:p>
        </w:tc>
        <w:tc>
          <w:tcPr>
            <w:tcW w:w="3100"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Physical sciences</w:t>
            </w:r>
          </w:p>
        </w:tc>
        <w:tc>
          <w:tcPr>
            <w:tcW w:w="3206"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Chemistry</w:t>
            </w:r>
          </w:p>
        </w:tc>
        <w:tc>
          <w:tcPr>
            <w:tcW w:w="1080" w:type="dxa"/>
            <w:tcBorders>
              <w:top w:val="nil"/>
              <w:left w:val="single" w:sz="4" w:space="0" w:color="auto"/>
            </w:tcBorders>
            <w:shd w:val="clear" w:color="auto" w:fill="auto"/>
            <w:noWrap/>
            <w:hideMark/>
          </w:tcPr>
          <w:p w:rsidR="00D97DBF" w:rsidRPr="00517342" w:rsidRDefault="00D97DBF" w:rsidP="00D97DBF">
            <w:pPr>
              <w:spacing w:after="0"/>
              <w:jc w:val="left"/>
              <w:rPr>
                <w:sz w:val="20"/>
                <w:szCs w:val="20"/>
                <w:lang w:eastAsia="en-GB"/>
              </w:rPr>
            </w:pPr>
            <w:r w:rsidRPr="00517342">
              <w:rPr>
                <w:sz w:val="20"/>
                <w:szCs w:val="20"/>
                <w:lang w:eastAsia="en-GB"/>
              </w:rPr>
              <w:t>5.8</w:t>
            </w:r>
          </w:p>
        </w:tc>
      </w:tr>
      <w:tr w:rsidR="00D97DBF" w:rsidRPr="00D97DBF" w:rsidTr="00340977">
        <w:trPr>
          <w:trHeight w:val="300"/>
        </w:trPr>
        <w:tc>
          <w:tcPr>
            <w:tcW w:w="954" w:type="dxa"/>
            <w:tcBorders>
              <w:top w:val="nil"/>
              <w:right w:val="single" w:sz="4" w:space="0" w:color="auto"/>
            </w:tcBorders>
            <w:shd w:val="clear" w:color="auto" w:fill="auto"/>
            <w:noWrap/>
            <w:vAlign w:val="bottom"/>
            <w:hideMark/>
          </w:tcPr>
          <w:p w:rsidR="00D97DBF" w:rsidRPr="00517342" w:rsidRDefault="00D97DBF" w:rsidP="00D97DBF">
            <w:pPr>
              <w:spacing w:after="0"/>
              <w:jc w:val="center"/>
              <w:rPr>
                <w:color w:val="000000"/>
                <w:sz w:val="20"/>
                <w:szCs w:val="20"/>
                <w:lang w:eastAsia="en-GB"/>
              </w:rPr>
            </w:pPr>
            <w:r w:rsidRPr="00517342">
              <w:rPr>
                <w:color w:val="000000"/>
                <w:sz w:val="20"/>
                <w:szCs w:val="20"/>
                <w:lang w:eastAsia="en-GB"/>
              </w:rPr>
              <w:t>G</w:t>
            </w:r>
          </w:p>
        </w:tc>
        <w:tc>
          <w:tcPr>
            <w:tcW w:w="3100"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Mathematical sciences</w:t>
            </w:r>
          </w:p>
        </w:tc>
        <w:tc>
          <w:tcPr>
            <w:tcW w:w="3206"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Mathematics</w:t>
            </w:r>
          </w:p>
        </w:tc>
        <w:tc>
          <w:tcPr>
            <w:tcW w:w="1080" w:type="dxa"/>
            <w:tcBorders>
              <w:top w:val="nil"/>
              <w:left w:val="single" w:sz="4" w:space="0" w:color="auto"/>
            </w:tcBorders>
            <w:shd w:val="clear" w:color="auto" w:fill="auto"/>
            <w:noWrap/>
            <w:hideMark/>
          </w:tcPr>
          <w:p w:rsidR="00D97DBF" w:rsidRPr="00517342" w:rsidRDefault="00D97DBF" w:rsidP="00D97DBF">
            <w:pPr>
              <w:spacing w:after="0"/>
              <w:jc w:val="left"/>
              <w:rPr>
                <w:sz w:val="20"/>
                <w:szCs w:val="20"/>
                <w:lang w:eastAsia="en-GB"/>
              </w:rPr>
            </w:pPr>
            <w:r w:rsidRPr="00517342">
              <w:rPr>
                <w:sz w:val="20"/>
                <w:szCs w:val="20"/>
                <w:lang w:eastAsia="en-GB"/>
              </w:rPr>
              <w:t>2.5</w:t>
            </w:r>
          </w:p>
        </w:tc>
      </w:tr>
      <w:tr w:rsidR="00D97DBF" w:rsidRPr="00D97DBF" w:rsidTr="00340977">
        <w:trPr>
          <w:trHeight w:val="300"/>
        </w:trPr>
        <w:tc>
          <w:tcPr>
            <w:tcW w:w="954" w:type="dxa"/>
            <w:tcBorders>
              <w:top w:val="nil"/>
              <w:right w:val="single" w:sz="4" w:space="0" w:color="auto"/>
            </w:tcBorders>
            <w:shd w:val="clear" w:color="auto" w:fill="auto"/>
            <w:noWrap/>
            <w:vAlign w:val="bottom"/>
            <w:hideMark/>
          </w:tcPr>
          <w:p w:rsidR="00D97DBF" w:rsidRPr="00517342" w:rsidRDefault="00D97DBF" w:rsidP="00D97DBF">
            <w:pPr>
              <w:spacing w:after="0"/>
              <w:jc w:val="center"/>
              <w:rPr>
                <w:color w:val="000000"/>
                <w:sz w:val="20"/>
                <w:szCs w:val="20"/>
                <w:lang w:eastAsia="en-GB"/>
              </w:rPr>
            </w:pPr>
            <w:r w:rsidRPr="00517342">
              <w:rPr>
                <w:color w:val="000000"/>
                <w:sz w:val="20"/>
                <w:szCs w:val="20"/>
                <w:lang w:eastAsia="en-GB"/>
              </w:rPr>
              <w:t>G</w:t>
            </w:r>
          </w:p>
        </w:tc>
        <w:tc>
          <w:tcPr>
            <w:tcW w:w="3100"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Computer science</w:t>
            </w:r>
          </w:p>
        </w:tc>
        <w:tc>
          <w:tcPr>
            <w:tcW w:w="3206"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Computer science</w:t>
            </w:r>
          </w:p>
        </w:tc>
        <w:tc>
          <w:tcPr>
            <w:tcW w:w="1080" w:type="dxa"/>
            <w:tcBorders>
              <w:top w:val="nil"/>
              <w:left w:val="single" w:sz="4" w:space="0" w:color="auto"/>
            </w:tcBorders>
            <w:shd w:val="clear" w:color="auto" w:fill="auto"/>
            <w:noWrap/>
            <w:hideMark/>
          </w:tcPr>
          <w:p w:rsidR="00D97DBF" w:rsidRPr="00517342" w:rsidRDefault="00D97DBF" w:rsidP="00D97DBF">
            <w:pPr>
              <w:spacing w:after="0"/>
              <w:jc w:val="left"/>
              <w:rPr>
                <w:sz w:val="20"/>
                <w:szCs w:val="20"/>
                <w:lang w:eastAsia="en-GB"/>
              </w:rPr>
            </w:pPr>
            <w:r w:rsidRPr="00517342">
              <w:rPr>
                <w:sz w:val="20"/>
                <w:szCs w:val="20"/>
                <w:lang w:eastAsia="en-GB"/>
              </w:rPr>
              <w:t>3.6</w:t>
            </w:r>
          </w:p>
        </w:tc>
      </w:tr>
      <w:tr w:rsidR="00D97DBF" w:rsidRPr="00D97DBF" w:rsidTr="00340977">
        <w:trPr>
          <w:trHeight w:val="300"/>
        </w:trPr>
        <w:tc>
          <w:tcPr>
            <w:tcW w:w="954" w:type="dxa"/>
            <w:tcBorders>
              <w:top w:val="nil"/>
              <w:right w:val="single" w:sz="4" w:space="0" w:color="auto"/>
            </w:tcBorders>
            <w:shd w:val="clear" w:color="auto" w:fill="auto"/>
            <w:noWrap/>
            <w:vAlign w:val="bottom"/>
            <w:hideMark/>
          </w:tcPr>
          <w:p w:rsidR="00D97DBF" w:rsidRPr="00517342" w:rsidRDefault="00D97DBF" w:rsidP="00D97DBF">
            <w:pPr>
              <w:spacing w:after="0"/>
              <w:jc w:val="center"/>
              <w:rPr>
                <w:color w:val="000000"/>
                <w:sz w:val="20"/>
                <w:szCs w:val="20"/>
                <w:lang w:eastAsia="en-GB"/>
              </w:rPr>
            </w:pPr>
            <w:r w:rsidRPr="00517342">
              <w:rPr>
                <w:color w:val="000000"/>
                <w:sz w:val="20"/>
                <w:szCs w:val="20"/>
                <w:lang w:eastAsia="en-GB"/>
              </w:rPr>
              <w:t>H, J</w:t>
            </w:r>
          </w:p>
        </w:tc>
        <w:tc>
          <w:tcPr>
            <w:tcW w:w="3100"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Engineering and technology</w:t>
            </w:r>
          </w:p>
        </w:tc>
        <w:tc>
          <w:tcPr>
            <w:tcW w:w="3206"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Minerals technology</w:t>
            </w:r>
          </w:p>
        </w:tc>
        <w:tc>
          <w:tcPr>
            <w:tcW w:w="1080" w:type="dxa"/>
            <w:tcBorders>
              <w:top w:val="nil"/>
              <w:left w:val="single" w:sz="4" w:space="0" w:color="auto"/>
            </w:tcBorders>
            <w:shd w:val="clear" w:color="auto" w:fill="auto"/>
            <w:noWrap/>
            <w:hideMark/>
          </w:tcPr>
          <w:p w:rsidR="00D97DBF" w:rsidRPr="00517342" w:rsidRDefault="00D97DBF" w:rsidP="00D97DBF">
            <w:pPr>
              <w:spacing w:after="0"/>
              <w:jc w:val="left"/>
              <w:rPr>
                <w:sz w:val="20"/>
                <w:szCs w:val="20"/>
                <w:lang w:eastAsia="en-GB"/>
              </w:rPr>
            </w:pPr>
            <w:r w:rsidRPr="00517342">
              <w:rPr>
                <w:sz w:val="20"/>
                <w:szCs w:val="20"/>
                <w:lang w:eastAsia="en-GB"/>
              </w:rPr>
              <w:t>5.9</w:t>
            </w:r>
          </w:p>
        </w:tc>
      </w:tr>
      <w:tr w:rsidR="00D97DBF" w:rsidRPr="00D97DBF" w:rsidTr="00340977">
        <w:trPr>
          <w:trHeight w:val="600"/>
        </w:trPr>
        <w:tc>
          <w:tcPr>
            <w:tcW w:w="954" w:type="dxa"/>
            <w:tcBorders>
              <w:top w:val="nil"/>
              <w:right w:val="single" w:sz="4" w:space="0" w:color="auto"/>
            </w:tcBorders>
            <w:shd w:val="clear" w:color="auto" w:fill="auto"/>
            <w:noWrap/>
            <w:vAlign w:val="bottom"/>
            <w:hideMark/>
          </w:tcPr>
          <w:p w:rsidR="00D97DBF" w:rsidRPr="00517342" w:rsidRDefault="00D97DBF" w:rsidP="00D97DBF">
            <w:pPr>
              <w:spacing w:after="0"/>
              <w:jc w:val="center"/>
              <w:rPr>
                <w:color w:val="000000"/>
                <w:sz w:val="20"/>
                <w:szCs w:val="20"/>
                <w:lang w:eastAsia="en-GB"/>
              </w:rPr>
            </w:pPr>
            <w:r w:rsidRPr="00517342">
              <w:rPr>
                <w:color w:val="000000"/>
                <w:sz w:val="20"/>
                <w:szCs w:val="20"/>
                <w:lang w:eastAsia="en-GB"/>
              </w:rPr>
              <w:t>K</w:t>
            </w:r>
          </w:p>
        </w:tc>
        <w:tc>
          <w:tcPr>
            <w:tcW w:w="3100"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Architecture, building and planning</w:t>
            </w:r>
          </w:p>
        </w:tc>
        <w:tc>
          <w:tcPr>
            <w:tcW w:w="3206"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Architecture</w:t>
            </w:r>
          </w:p>
        </w:tc>
        <w:tc>
          <w:tcPr>
            <w:tcW w:w="1080" w:type="dxa"/>
            <w:tcBorders>
              <w:top w:val="nil"/>
              <w:left w:val="single" w:sz="4" w:space="0" w:color="auto"/>
            </w:tcBorders>
            <w:shd w:val="clear" w:color="auto" w:fill="auto"/>
            <w:noWrap/>
            <w:hideMark/>
          </w:tcPr>
          <w:p w:rsidR="00D97DBF" w:rsidRPr="00517342" w:rsidRDefault="00D97DBF" w:rsidP="00D97DBF">
            <w:pPr>
              <w:spacing w:after="0"/>
              <w:jc w:val="left"/>
              <w:rPr>
                <w:sz w:val="20"/>
                <w:szCs w:val="20"/>
                <w:lang w:eastAsia="en-GB"/>
              </w:rPr>
            </w:pPr>
            <w:r w:rsidRPr="00517342">
              <w:rPr>
                <w:sz w:val="20"/>
                <w:szCs w:val="20"/>
                <w:lang w:eastAsia="en-GB"/>
              </w:rPr>
              <w:t>4.3</w:t>
            </w:r>
          </w:p>
        </w:tc>
      </w:tr>
      <w:tr w:rsidR="00D97DBF" w:rsidRPr="00D97DBF" w:rsidTr="00340977">
        <w:trPr>
          <w:trHeight w:val="300"/>
        </w:trPr>
        <w:tc>
          <w:tcPr>
            <w:tcW w:w="954" w:type="dxa"/>
            <w:tcBorders>
              <w:top w:val="nil"/>
              <w:right w:val="single" w:sz="4" w:space="0" w:color="auto"/>
            </w:tcBorders>
            <w:shd w:val="clear" w:color="auto" w:fill="auto"/>
            <w:noWrap/>
            <w:vAlign w:val="bottom"/>
            <w:hideMark/>
          </w:tcPr>
          <w:p w:rsidR="00D97DBF" w:rsidRPr="00517342" w:rsidRDefault="00D97DBF" w:rsidP="00D97DBF">
            <w:pPr>
              <w:spacing w:after="0"/>
              <w:jc w:val="center"/>
              <w:rPr>
                <w:color w:val="000000"/>
                <w:sz w:val="20"/>
                <w:szCs w:val="20"/>
                <w:lang w:eastAsia="en-GB"/>
              </w:rPr>
            </w:pPr>
            <w:r w:rsidRPr="00517342">
              <w:rPr>
                <w:color w:val="000000"/>
                <w:sz w:val="20"/>
                <w:szCs w:val="20"/>
                <w:lang w:eastAsia="en-GB"/>
              </w:rPr>
              <w:t>L</w:t>
            </w:r>
          </w:p>
        </w:tc>
        <w:tc>
          <w:tcPr>
            <w:tcW w:w="3100"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Social studies</w:t>
            </w:r>
          </w:p>
        </w:tc>
        <w:tc>
          <w:tcPr>
            <w:tcW w:w="3206"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Economics</w:t>
            </w:r>
          </w:p>
        </w:tc>
        <w:tc>
          <w:tcPr>
            <w:tcW w:w="1080" w:type="dxa"/>
            <w:tcBorders>
              <w:top w:val="nil"/>
              <w:left w:val="single" w:sz="4" w:space="0" w:color="auto"/>
            </w:tcBorders>
            <w:shd w:val="clear" w:color="auto" w:fill="auto"/>
            <w:noWrap/>
            <w:hideMark/>
          </w:tcPr>
          <w:p w:rsidR="00D97DBF" w:rsidRPr="00517342" w:rsidRDefault="00D97DBF" w:rsidP="00D97DBF">
            <w:pPr>
              <w:spacing w:after="0"/>
              <w:jc w:val="left"/>
              <w:rPr>
                <w:sz w:val="20"/>
                <w:szCs w:val="20"/>
                <w:lang w:eastAsia="en-GB"/>
              </w:rPr>
            </w:pPr>
            <w:r w:rsidRPr="00517342">
              <w:rPr>
                <w:sz w:val="20"/>
                <w:szCs w:val="20"/>
                <w:lang w:eastAsia="en-GB"/>
              </w:rPr>
              <w:t>1.9</w:t>
            </w:r>
          </w:p>
        </w:tc>
      </w:tr>
      <w:tr w:rsidR="00D97DBF" w:rsidRPr="00D97DBF" w:rsidTr="00340977">
        <w:trPr>
          <w:trHeight w:val="300"/>
        </w:trPr>
        <w:tc>
          <w:tcPr>
            <w:tcW w:w="954" w:type="dxa"/>
            <w:tcBorders>
              <w:top w:val="nil"/>
              <w:right w:val="single" w:sz="4" w:space="0" w:color="auto"/>
            </w:tcBorders>
            <w:shd w:val="clear" w:color="auto" w:fill="auto"/>
            <w:noWrap/>
            <w:vAlign w:val="bottom"/>
            <w:hideMark/>
          </w:tcPr>
          <w:p w:rsidR="00D97DBF" w:rsidRPr="00517342" w:rsidRDefault="00D97DBF" w:rsidP="00D97DBF">
            <w:pPr>
              <w:spacing w:after="0"/>
              <w:jc w:val="center"/>
              <w:rPr>
                <w:color w:val="000000"/>
                <w:sz w:val="20"/>
                <w:szCs w:val="20"/>
                <w:lang w:eastAsia="en-GB"/>
              </w:rPr>
            </w:pPr>
            <w:r w:rsidRPr="00517342">
              <w:rPr>
                <w:color w:val="000000"/>
                <w:sz w:val="20"/>
                <w:szCs w:val="20"/>
                <w:lang w:eastAsia="en-GB"/>
              </w:rPr>
              <w:t>M</w:t>
            </w:r>
          </w:p>
        </w:tc>
        <w:tc>
          <w:tcPr>
            <w:tcW w:w="3100"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Law</w:t>
            </w:r>
          </w:p>
        </w:tc>
        <w:tc>
          <w:tcPr>
            <w:tcW w:w="3206"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Law</w:t>
            </w:r>
          </w:p>
        </w:tc>
        <w:tc>
          <w:tcPr>
            <w:tcW w:w="1080" w:type="dxa"/>
            <w:tcBorders>
              <w:top w:val="nil"/>
              <w:left w:val="single" w:sz="4" w:space="0" w:color="auto"/>
            </w:tcBorders>
            <w:shd w:val="clear" w:color="auto" w:fill="auto"/>
            <w:noWrap/>
            <w:hideMark/>
          </w:tcPr>
          <w:p w:rsidR="00D97DBF" w:rsidRPr="00517342" w:rsidRDefault="00D97DBF" w:rsidP="00D97DBF">
            <w:pPr>
              <w:spacing w:after="0"/>
              <w:jc w:val="left"/>
              <w:rPr>
                <w:sz w:val="20"/>
                <w:szCs w:val="20"/>
                <w:lang w:eastAsia="en-GB"/>
              </w:rPr>
            </w:pPr>
            <w:r w:rsidRPr="00517342">
              <w:rPr>
                <w:sz w:val="20"/>
                <w:szCs w:val="20"/>
                <w:lang w:eastAsia="en-GB"/>
              </w:rPr>
              <w:t>1.7</w:t>
            </w:r>
          </w:p>
        </w:tc>
      </w:tr>
      <w:tr w:rsidR="00D97DBF" w:rsidRPr="00D97DBF" w:rsidTr="00340977">
        <w:trPr>
          <w:trHeight w:val="600"/>
        </w:trPr>
        <w:tc>
          <w:tcPr>
            <w:tcW w:w="954" w:type="dxa"/>
            <w:tcBorders>
              <w:top w:val="nil"/>
              <w:right w:val="single" w:sz="4" w:space="0" w:color="auto"/>
            </w:tcBorders>
            <w:shd w:val="clear" w:color="auto" w:fill="auto"/>
            <w:noWrap/>
            <w:vAlign w:val="bottom"/>
            <w:hideMark/>
          </w:tcPr>
          <w:p w:rsidR="00D97DBF" w:rsidRPr="00517342" w:rsidRDefault="00D97DBF" w:rsidP="00D97DBF">
            <w:pPr>
              <w:spacing w:after="0"/>
              <w:jc w:val="center"/>
              <w:rPr>
                <w:color w:val="000000"/>
                <w:sz w:val="20"/>
                <w:szCs w:val="20"/>
                <w:lang w:eastAsia="en-GB"/>
              </w:rPr>
            </w:pPr>
            <w:r w:rsidRPr="00517342">
              <w:rPr>
                <w:color w:val="000000"/>
                <w:sz w:val="20"/>
                <w:szCs w:val="20"/>
                <w:lang w:eastAsia="en-GB"/>
              </w:rPr>
              <w:t>N</w:t>
            </w:r>
          </w:p>
        </w:tc>
        <w:tc>
          <w:tcPr>
            <w:tcW w:w="3100"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Business and administrative studies</w:t>
            </w:r>
          </w:p>
        </w:tc>
        <w:tc>
          <w:tcPr>
            <w:tcW w:w="3206"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Business studies</w:t>
            </w:r>
          </w:p>
        </w:tc>
        <w:tc>
          <w:tcPr>
            <w:tcW w:w="1080" w:type="dxa"/>
            <w:tcBorders>
              <w:top w:val="nil"/>
              <w:left w:val="single" w:sz="4" w:space="0" w:color="auto"/>
            </w:tcBorders>
            <w:shd w:val="clear" w:color="auto" w:fill="auto"/>
            <w:noWrap/>
            <w:hideMark/>
          </w:tcPr>
          <w:p w:rsidR="00D97DBF" w:rsidRPr="00517342" w:rsidRDefault="00D97DBF" w:rsidP="00D97DBF">
            <w:pPr>
              <w:spacing w:after="0"/>
              <w:jc w:val="left"/>
              <w:rPr>
                <w:sz w:val="20"/>
                <w:szCs w:val="20"/>
                <w:lang w:eastAsia="en-GB"/>
              </w:rPr>
            </w:pPr>
            <w:r w:rsidRPr="00517342">
              <w:rPr>
                <w:sz w:val="20"/>
                <w:szCs w:val="20"/>
                <w:lang w:eastAsia="en-GB"/>
              </w:rPr>
              <w:t>2.2</w:t>
            </w:r>
          </w:p>
        </w:tc>
      </w:tr>
      <w:tr w:rsidR="00D97DBF" w:rsidRPr="00D97DBF" w:rsidTr="00340977">
        <w:trPr>
          <w:trHeight w:val="600"/>
        </w:trPr>
        <w:tc>
          <w:tcPr>
            <w:tcW w:w="954" w:type="dxa"/>
            <w:tcBorders>
              <w:top w:val="nil"/>
              <w:right w:val="single" w:sz="4" w:space="0" w:color="auto"/>
            </w:tcBorders>
            <w:shd w:val="clear" w:color="auto" w:fill="auto"/>
            <w:noWrap/>
            <w:vAlign w:val="bottom"/>
            <w:hideMark/>
          </w:tcPr>
          <w:p w:rsidR="00D97DBF" w:rsidRPr="00517342" w:rsidRDefault="00D97DBF" w:rsidP="00D97DBF">
            <w:pPr>
              <w:spacing w:after="0"/>
              <w:jc w:val="center"/>
              <w:rPr>
                <w:color w:val="000000"/>
                <w:sz w:val="20"/>
                <w:szCs w:val="20"/>
                <w:lang w:eastAsia="en-GB"/>
              </w:rPr>
            </w:pPr>
            <w:r w:rsidRPr="00517342">
              <w:rPr>
                <w:color w:val="000000"/>
                <w:sz w:val="20"/>
                <w:szCs w:val="20"/>
                <w:lang w:eastAsia="en-GB"/>
              </w:rPr>
              <w:t>P</w:t>
            </w:r>
          </w:p>
        </w:tc>
        <w:tc>
          <w:tcPr>
            <w:tcW w:w="3100"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Mass communications and documentation</w:t>
            </w:r>
          </w:p>
        </w:tc>
        <w:tc>
          <w:tcPr>
            <w:tcW w:w="3206"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Journalism</w:t>
            </w:r>
          </w:p>
        </w:tc>
        <w:tc>
          <w:tcPr>
            <w:tcW w:w="1080" w:type="dxa"/>
            <w:tcBorders>
              <w:top w:val="nil"/>
              <w:left w:val="single" w:sz="4" w:space="0" w:color="auto"/>
            </w:tcBorders>
            <w:shd w:val="clear" w:color="auto" w:fill="auto"/>
            <w:noWrap/>
            <w:hideMark/>
          </w:tcPr>
          <w:p w:rsidR="00D97DBF" w:rsidRPr="00517342" w:rsidRDefault="00D97DBF" w:rsidP="00D97DBF">
            <w:pPr>
              <w:spacing w:after="0"/>
              <w:jc w:val="left"/>
              <w:rPr>
                <w:sz w:val="20"/>
                <w:szCs w:val="20"/>
                <w:lang w:eastAsia="en-GB"/>
              </w:rPr>
            </w:pPr>
            <w:r w:rsidRPr="00517342">
              <w:rPr>
                <w:sz w:val="20"/>
                <w:szCs w:val="20"/>
                <w:lang w:eastAsia="en-GB"/>
              </w:rPr>
              <w:t>3.8</w:t>
            </w:r>
          </w:p>
        </w:tc>
      </w:tr>
      <w:tr w:rsidR="00D97DBF" w:rsidRPr="00D97DBF" w:rsidTr="00340977">
        <w:trPr>
          <w:trHeight w:val="300"/>
        </w:trPr>
        <w:tc>
          <w:tcPr>
            <w:tcW w:w="954" w:type="dxa"/>
            <w:tcBorders>
              <w:top w:val="nil"/>
              <w:right w:val="single" w:sz="4" w:space="0" w:color="auto"/>
            </w:tcBorders>
            <w:shd w:val="clear" w:color="auto" w:fill="auto"/>
            <w:noWrap/>
            <w:vAlign w:val="bottom"/>
            <w:hideMark/>
          </w:tcPr>
          <w:p w:rsidR="00D97DBF" w:rsidRPr="00517342" w:rsidRDefault="00D97DBF" w:rsidP="00D97DBF">
            <w:pPr>
              <w:spacing w:after="0"/>
              <w:jc w:val="center"/>
              <w:rPr>
                <w:color w:val="000000"/>
                <w:sz w:val="20"/>
                <w:szCs w:val="20"/>
                <w:lang w:eastAsia="en-GB"/>
              </w:rPr>
            </w:pPr>
            <w:r w:rsidRPr="00517342">
              <w:rPr>
                <w:color w:val="000000"/>
                <w:sz w:val="20"/>
                <w:szCs w:val="20"/>
                <w:lang w:eastAsia="en-GB"/>
              </w:rPr>
              <w:t>Q, R, T</w:t>
            </w:r>
          </w:p>
        </w:tc>
        <w:tc>
          <w:tcPr>
            <w:tcW w:w="3100"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Languages</w:t>
            </w:r>
          </w:p>
        </w:tc>
        <w:tc>
          <w:tcPr>
            <w:tcW w:w="3206"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French studies</w:t>
            </w:r>
          </w:p>
        </w:tc>
        <w:tc>
          <w:tcPr>
            <w:tcW w:w="1080" w:type="dxa"/>
            <w:tcBorders>
              <w:top w:val="nil"/>
              <w:left w:val="single" w:sz="4" w:space="0" w:color="auto"/>
            </w:tcBorders>
            <w:shd w:val="clear" w:color="auto" w:fill="auto"/>
            <w:noWrap/>
            <w:hideMark/>
          </w:tcPr>
          <w:p w:rsidR="00D97DBF" w:rsidRPr="00517342" w:rsidRDefault="00D97DBF" w:rsidP="00D97DBF">
            <w:pPr>
              <w:spacing w:after="0"/>
              <w:jc w:val="left"/>
              <w:rPr>
                <w:sz w:val="20"/>
                <w:szCs w:val="20"/>
                <w:lang w:eastAsia="en-GB"/>
              </w:rPr>
            </w:pPr>
            <w:r w:rsidRPr="00517342">
              <w:rPr>
                <w:sz w:val="20"/>
                <w:szCs w:val="20"/>
                <w:lang w:eastAsia="en-GB"/>
              </w:rPr>
              <w:t>2.7</w:t>
            </w:r>
          </w:p>
        </w:tc>
      </w:tr>
      <w:tr w:rsidR="00D97DBF" w:rsidRPr="00D97DBF" w:rsidTr="00340977">
        <w:trPr>
          <w:trHeight w:val="600"/>
        </w:trPr>
        <w:tc>
          <w:tcPr>
            <w:tcW w:w="954" w:type="dxa"/>
            <w:tcBorders>
              <w:top w:val="nil"/>
              <w:right w:val="single" w:sz="4" w:space="0" w:color="auto"/>
            </w:tcBorders>
            <w:shd w:val="clear" w:color="auto" w:fill="auto"/>
            <w:noWrap/>
            <w:vAlign w:val="bottom"/>
            <w:hideMark/>
          </w:tcPr>
          <w:p w:rsidR="00D97DBF" w:rsidRPr="00517342" w:rsidRDefault="00D97DBF" w:rsidP="00D97DBF">
            <w:pPr>
              <w:spacing w:after="0"/>
              <w:jc w:val="center"/>
              <w:rPr>
                <w:color w:val="000000"/>
                <w:sz w:val="20"/>
                <w:szCs w:val="20"/>
                <w:lang w:eastAsia="en-GB"/>
              </w:rPr>
            </w:pPr>
            <w:r w:rsidRPr="00517342">
              <w:rPr>
                <w:color w:val="000000"/>
                <w:sz w:val="20"/>
                <w:szCs w:val="20"/>
                <w:lang w:eastAsia="en-GB"/>
              </w:rPr>
              <w:t>V</w:t>
            </w:r>
          </w:p>
        </w:tc>
        <w:tc>
          <w:tcPr>
            <w:tcW w:w="3100"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Historical and philosophical studies</w:t>
            </w:r>
          </w:p>
        </w:tc>
        <w:tc>
          <w:tcPr>
            <w:tcW w:w="3206"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History</w:t>
            </w:r>
          </w:p>
        </w:tc>
        <w:tc>
          <w:tcPr>
            <w:tcW w:w="1080" w:type="dxa"/>
            <w:tcBorders>
              <w:top w:val="nil"/>
              <w:left w:val="single" w:sz="4" w:space="0" w:color="auto"/>
            </w:tcBorders>
            <w:shd w:val="clear" w:color="auto" w:fill="auto"/>
            <w:noWrap/>
            <w:hideMark/>
          </w:tcPr>
          <w:p w:rsidR="00D97DBF" w:rsidRPr="00517342" w:rsidRDefault="00D97DBF" w:rsidP="00D97DBF">
            <w:pPr>
              <w:spacing w:after="0"/>
              <w:jc w:val="left"/>
              <w:rPr>
                <w:sz w:val="20"/>
                <w:szCs w:val="20"/>
                <w:lang w:eastAsia="en-GB"/>
              </w:rPr>
            </w:pPr>
            <w:r w:rsidRPr="00517342">
              <w:rPr>
                <w:sz w:val="20"/>
                <w:szCs w:val="20"/>
                <w:lang w:eastAsia="en-GB"/>
              </w:rPr>
              <w:t>1.8</w:t>
            </w:r>
          </w:p>
        </w:tc>
      </w:tr>
      <w:tr w:rsidR="00D97DBF" w:rsidRPr="00D97DBF" w:rsidTr="00340977">
        <w:trPr>
          <w:trHeight w:val="300"/>
        </w:trPr>
        <w:tc>
          <w:tcPr>
            <w:tcW w:w="954" w:type="dxa"/>
            <w:tcBorders>
              <w:top w:val="nil"/>
              <w:right w:val="single" w:sz="4" w:space="0" w:color="auto"/>
            </w:tcBorders>
            <w:shd w:val="clear" w:color="auto" w:fill="auto"/>
            <w:noWrap/>
            <w:vAlign w:val="bottom"/>
            <w:hideMark/>
          </w:tcPr>
          <w:p w:rsidR="00D97DBF" w:rsidRPr="00517342" w:rsidRDefault="00D97DBF" w:rsidP="00D97DBF">
            <w:pPr>
              <w:spacing w:after="0"/>
              <w:jc w:val="center"/>
              <w:rPr>
                <w:color w:val="000000"/>
                <w:sz w:val="20"/>
                <w:szCs w:val="20"/>
                <w:lang w:eastAsia="en-GB"/>
              </w:rPr>
            </w:pPr>
            <w:r w:rsidRPr="00517342">
              <w:rPr>
                <w:color w:val="000000"/>
                <w:sz w:val="20"/>
                <w:szCs w:val="20"/>
                <w:lang w:eastAsia="en-GB"/>
              </w:rPr>
              <w:t>W</w:t>
            </w:r>
          </w:p>
        </w:tc>
        <w:tc>
          <w:tcPr>
            <w:tcW w:w="3100"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Creative arts and design</w:t>
            </w:r>
          </w:p>
        </w:tc>
        <w:tc>
          <w:tcPr>
            <w:tcW w:w="3206"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Fine Art</w:t>
            </w:r>
          </w:p>
        </w:tc>
        <w:tc>
          <w:tcPr>
            <w:tcW w:w="1080" w:type="dxa"/>
            <w:tcBorders>
              <w:top w:val="nil"/>
              <w:left w:val="single" w:sz="4" w:space="0" w:color="auto"/>
            </w:tcBorders>
            <w:shd w:val="clear" w:color="auto" w:fill="auto"/>
            <w:noWrap/>
            <w:hideMark/>
          </w:tcPr>
          <w:p w:rsidR="00D97DBF" w:rsidRPr="00517342" w:rsidRDefault="00D97DBF" w:rsidP="00D97DBF">
            <w:pPr>
              <w:spacing w:after="0"/>
              <w:jc w:val="left"/>
              <w:rPr>
                <w:sz w:val="20"/>
                <w:szCs w:val="20"/>
                <w:lang w:eastAsia="en-GB"/>
              </w:rPr>
            </w:pPr>
            <w:r w:rsidRPr="00517342">
              <w:rPr>
                <w:sz w:val="20"/>
                <w:szCs w:val="20"/>
                <w:lang w:eastAsia="en-GB"/>
              </w:rPr>
              <w:t>6.0</w:t>
            </w:r>
          </w:p>
        </w:tc>
      </w:tr>
      <w:tr w:rsidR="00D97DBF" w:rsidRPr="00D97DBF" w:rsidTr="00340977">
        <w:trPr>
          <w:trHeight w:val="300"/>
        </w:trPr>
        <w:tc>
          <w:tcPr>
            <w:tcW w:w="954" w:type="dxa"/>
            <w:tcBorders>
              <w:top w:val="nil"/>
              <w:right w:val="single" w:sz="4" w:space="0" w:color="auto"/>
            </w:tcBorders>
            <w:shd w:val="clear" w:color="auto" w:fill="auto"/>
            <w:noWrap/>
            <w:vAlign w:val="bottom"/>
            <w:hideMark/>
          </w:tcPr>
          <w:p w:rsidR="00D97DBF" w:rsidRPr="00517342" w:rsidRDefault="00D97DBF" w:rsidP="00D97DBF">
            <w:pPr>
              <w:spacing w:after="0"/>
              <w:jc w:val="center"/>
              <w:rPr>
                <w:color w:val="000000"/>
                <w:sz w:val="20"/>
                <w:szCs w:val="20"/>
                <w:lang w:eastAsia="en-GB"/>
              </w:rPr>
            </w:pPr>
            <w:r w:rsidRPr="00517342">
              <w:rPr>
                <w:color w:val="000000"/>
                <w:sz w:val="20"/>
                <w:szCs w:val="20"/>
                <w:lang w:eastAsia="en-GB"/>
              </w:rPr>
              <w:t>X</w:t>
            </w:r>
          </w:p>
        </w:tc>
        <w:tc>
          <w:tcPr>
            <w:tcW w:w="3100"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Education</w:t>
            </w:r>
          </w:p>
        </w:tc>
        <w:tc>
          <w:tcPr>
            <w:tcW w:w="3206"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Training teachers</w:t>
            </w:r>
          </w:p>
        </w:tc>
        <w:tc>
          <w:tcPr>
            <w:tcW w:w="1080" w:type="dxa"/>
            <w:tcBorders>
              <w:top w:val="nil"/>
              <w:left w:val="single" w:sz="4" w:space="0" w:color="auto"/>
            </w:tcBorders>
            <w:shd w:val="clear" w:color="auto" w:fill="auto"/>
            <w:noWrap/>
            <w:hideMark/>
          </w:tcPr>
          <w:p w:rsidR="00D97DBF" w:rsidRPr="00517342" w:rsidRDefault="00D97DBF" w:rsidP="00D97DBF">
            <w:pPr>
              <w:spacing w:after="0"/>
              <w:jc w:val="left"/>
              <w:rPr>
                <w:sz w:val="20"/>
                <w:szCs w:val="20"/>
                <w:lang w:eastAsia="en-GB"/>
              </w:rPr>
            </w:pPr>
            <w:r w:rsidRPr="00517342">
              <w:rPr>
                <w:sz w:val="20"/>
                <w:szCs w:val="20"/>
                <w:lang w:eastAsia="en-GB"/>
              </w:rPr>
              <w:t>2.4</w:t>
            </w:r>
          </w:p>
        </w:tc>
      </w:tr>
      <w:tr w:rsidR="00D97DBF" w:rsidRPr="00D97DBF" w:rsidTr="00340977">
        <w:trPr>
          <w:trHeight w:val="300"/>
        </w:trPr>
        <w:tc>
          <w:tcPr>
            <w:tcW w:w="954" w:type="dxa"/>
            <w:tcBorders>
              <w:top w:val="nil"/>
              <w:right w:val="single" w:sz="4" w:space="0" w:color="auto"/>
            </w:tcBorders>
            <w:shd w:val="clear" w:color="auto" w:fill="auto"/>
            <w:noWrap/>
            <w:vAlign w:val="bottom"/>
            <w:hideMark/>
          </w:tcPr>
          <w:p w:rsidR="00D97DBF" w:rsidRPr="00517342" w:rsidRDefault="00D97DBF" w:rsidP="00D97DBF">
            <w:pPr>
              <w:spacing w:after="0"/>
              <w:jc w:val="center"/>
              <w:rPr>
                <w:color w:val="000000"/>
                <w:sz w:val="20"/>
                <w:szCs w:val="20"/>
                <w:lang w:eastAsia="en-GB"/>
              </w:rPr>
            </w:pPr>
            <w:r w:rsidRPr="00517342">
              <w:rPr>
                <w:color w:val="000000"/>
                <w:sz w:val="20"/>
                <w:szCs w:val="20"/>
                <w:lang w:eastAsia="en-GB"/>
              </w:rPr>
              <w:t>Y</w:t>
            </w:r>
          </w:p>
        </w:tc>
        <w:tc>
          <w:tcPr>
            <w:tcW w:w="3100"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Combined</w:t>
            </w:r>
          </w:p>
        </w:tc>
        <w:tc>
          <w:tcPr>
            <w:tcW w:w="3206"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w:t>
            </w:r>
          </w:p>
        </w:tc>
        <w:tc>
          <w:tcPr>
            <w:tcW w:w="1080" w:type="dxa"/>
            <w:tcBorders>
              <w:top w:val="nil"/>
              <w:left w:val="single" w:sz="4" w:space="0" w:color="auto"/>
            </w:tcBorders>
            <w:shd w:val="clear" w:color="auto" w:fill="auto"/>
            <w:noWrap/>
            <w:hideMark/>
          </w:tcPr>
          <w:p w:rsidR="00D97DBF" w:rsidRPr="00517342" w:rsidRDefault="00D97DBF" w:rsidP="00D97DBF">
            <w:pPr>
              <w:spacing w:after="0"/>
              <w:jc w:val="left"/>
              <w:rPr>
                <w:color w:val="000000"/>
                <w:sz w:val="20"/>
                <w:szCs w:val="20"/>
                <w:lang w:eastAsia="en-GB"/>
              </w:rPr>
            </w:pPr>
          </w:p>
        </w:tc>
      </w:tr>
      <w:tr w:rsidR="00D97DBF" w:rsidRPr="00D97DBF" w:rsidTr="00340977">
        <w:trPr>
          <w:trHeight w:val="900"/>
        </w:trPr>
        <w:tc>
          <w:tcPr>
            <w:tcW w:w="954" w:type="dxa"/>
            <w:tcBorders>
              <w:top w:val="nil"/>
              <w:right w:val="single" w:sz="4" w:space="0" w:color="auto"/>
            </w:tcBorders>
            <w:shd w:val="clear" w:color="auto" w:fill="auto"/>
            <w:noWrap/>
            <w:vAlign w:val="bottom"/>
            <w:hideMark/>
          </w:tcPr>
          <w:p w:rsidR="00D97DBF" w:rsidRPr="00517342" w:rsidRDefault="00D97DBF" w:rsidP="00D97DBF">
            <w:pPr>
              <w:spacing w:after="0"/>
              <w:jc w:val="center"/>
              <w:rPr>
                <w:b/>
                <w:bCs/>
                <w:color w:val="000000"/>
                <w:sz w:val="20"/>
                <w:szCs w:val="20"/>
                <w:lang w:eastAsia="en-GB"/>
              </w:rPr>
            </w:pPr>
          </w:p>
        </w:tc>
        <w:tc>
          <w:tcPr>
            <w:tcW w:w="3100"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b/>
                <w:bCs/>
                <w:color w:val="000000"/>
                <w:sz w:val="20"/>
                <w:szCs w:val="20"/>
                <w:lang w:eastAsia="en-GB"/>
              </w:rPr>
            </w:pPr>
            <w:r w:rsidRPr="00517342">
              <w:rPr>
                <w:b/>
                <w:bCs/>
                <w:color w:val="000000"/>
                <w:sz w:val="20"/>
                <w:szCs w:val="20"/>
                <w:lang w:eastAsia="en-GB"/>
              </w:rPr>
              <w:t>Average academic area per student FTE based on the above examples</w:t>
            </w:r>
          </w:p>
        </w:tc>
        <w:tc>
          <w:tcPr>
            <w:tcW w:w="3206"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b/>
                <w:bCs/>
                <w:color w:val="000000"/>
                <w:sz w:val="20"/>
                <w:szCs w:val="20"/>
                <w:lang w:eastAsia="en-GB"/>
              </w:rPr>
            </w:pPr>
          </w:p>
        </w:tc>
        <w:tc>
          <w:tcPr>
            <w:tcW w:w="1080" w:type="dxa"/>
            <w:tcBorders>
              <w:top w:val="nil"/>
              <w:left w:val="single" w:sz="4" w:space="0" w:color="auto"/>
            </w:tcBorders>
            <w:shd w:val="clear" w:color="auto" w:fill="auto"/>
            <w:noWrap/>
            <w:hideMark/>
          </w:tcPr>
          <w:p w:rsidR="00D97DBF" w:rsidRPr="00517342" w:rsidRDefault="00D97DBF" w:rsidP="00D97DBF">
            <w:pPr>
              <w:spacing w:after="0"/>
              <w:jc w:val="left"/>
              <w:rPr>
                <w:b/>
                <w:bCs/>
                <w:color w:val="000000"/>
                <w:sz w:val="20"/>
                <w:szCs w:val="20"/>
                <w:lang w:eastAsia="en-GB"/>
              </w:rPr>
            </w:pPr>
            <w:r w:rsidRPr="00517342">
              <w:rPr>
                <w:b/>
                <w:bCs/>
                <w:color w:val="000000"/>
                <w:sz w:val="20"/>
                <w:szCs w:val="20"/>
                <w:lang w:eastAsia="en-GB"/>
              </w:rPr>
              <w:t>4.0</w:t>
            </w:r>
          </w:p>
        </w:tc>
      </w:tr>
      <w:tr w:rsidR="00D97DBF" w:rsidRPr="00D97DBF" w:rsidTr="00340977">
        <w:trPr>
          <w:trHeight w:val="600"/>
        </w:trPr>
        <w:tc>
          <w:tcPr>
            <w:tcW w:w="954" w:type="dxa"/>
            <w:tcBorders>
              <w:top w:val="nil"/>
              <w:right w:val="single" w:sz="4" w:space="0" w:color="auto"/>
            </w:tcBorders>
            <w:shd w:val="clear" w:color="auto" w:fill="auto"/>
            <w:noWrap/>
            <w:vAlign w:val="bottom"/>
            <w:hideMark/>
          </w:tcPr>
          <w:p w:rsidR="00D97DBF" w:rsidRPr="00517342" w:rsidRDefault="00D97DBF" w:rsidP="00D97DBF">
            <w:pPr>
              <w:spacing w:after="0"/>
              <w:jc w:val="center"/>
              <w:rPr>
                <w:color w:val="000000"/>
                <w:sz w:val="20"/>
                <w:szCs w:val="20"/>
                <w:lang w:eastAsia="en-GB"/>
              </w:rPr>
            </w:pPr>
          </w:p>
        </w:tc>
        <w:tc>
          <w:tcPr>
            <w:tcW w:w="3100"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EMS 2009 report comparators (all HEIs)</w:t>
            </w:r>
          </w:p>
        </w:tc>
        <w:tc>
          <w:tcPr>
            <w:tcW w:w="3206"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Academic area per FTE median</w:t>
            </w:r>
          </w:p>
        </w:tc>
        <w:tc>
          <w:tcPr>
            <w:tcW w:w="1080" w:type="dxa"/>
            <w:tcBorders>
              <w:top w:val="nil"/>
              <w:left w:val="single" w:sz="4" w:space="0" w:color="auto"/>
            </w:tcBorders>
            <w:shd w:val="clear" w:color="auto" w:fill="auto"/>
            <w:noWrap/>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4.3</w:t>
            </w:r>
          </w:p>
        </w:tc>
      </w:tr>
      <w:tr w:rsidR="00D97DBF" w:rsidRPr="00D97DBF" w:rsidTr="00340977">
        <w:trPr>
          <w:trHeight w:val="600"/>
        </w:trPr>
        <w:tc>
          <w:tcPr>
            <w:tcW w:w="954" w:type="dxa"/>
            <w:tcBorders>
              <w:top w:val="nil"/>
              <w:right w:val="single" w:sz="4" w:space="0" w:color="auto"/>
            </w:tcBorders>
            <w:shd w:val="clear" w:color="auto" w:fill="auto"/>
            <w:noWrap/>
            <w:vAlign w:val="bottom"/>
            <w:hideMark/>
          </w:tcPr>
          <w:p w:rsidR="00D97DBF" w:rsidRPr="00517342" w:rsidRDefault="00D97DBF" w:rsidP="00D97DBF">
            <w:pPr>
              <w:spacing w:after="0"/>
              <w:jc w:val="center"/>
              <w:rPr>
                <w:color w:val="000000"/>
                <w:sz w:val="20"/>
                <w:szCs w:val="20"/>
                <w:lang w:eastAsia="en-GB"/>
              </w:rPr>
            </w:pPr>
          </w:p>
        </w:tc>
        <w:tc>
          <w:tcPr>
            <w:tcW w:w="3100"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EMS 2009 report comparators (all HEIs)</w:t>
            </w:r>
          </w:p>
        </w:tc>
        <w:tc>
          <w:tcPr>
            <w:tcW w:w="3206" w:type="dxa"/>
            <w:tcBorders>
              <w:top w:val="nil"/>
              <w:left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Academic area per FTE lower quartile</w:t>
            </w:r>
          </w:p>
        </w:tc>
        <w:tc>
          <w:tcPr>
            <w:tcW w:w="1080" w:type="dxa"/>
            <w:tcBorders>
              <w:top w:val="nil"/>
              <w:left w:val="single" w:sz="4" w:space="0" w:color="auto"/>
            </w:tcBorders>
            <w:shd w:val="clear" w:color="auto" w:fill="auto"/>
            <w:noWrap/>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3.3</w:t>
            </w:r>
          </w:p>
        </w:tc>
      </w:tr>
      <w:tr w:rsidR="00D97DBF" w:rsidRPr="00D97DBF" w:rsidTr="00340977">
        <w:trPr>
          <w:trHeight w:val="600"/>
        </w:trPr>
        <w:tc>
          <w:tcPr>
            <w:tcW w:w="954" w:type="dxa"/>
            <w:tcBorders>
              <w:top w:val="nil"/>
              <w:bottom w:val="single" w:sz="4" w:space="0" w:color="auto"/>
              <w:right w:val="single" w:sz="4" w:space="0" w:color="auto"/>
            </w:tcBorders>
            <w:shd w:val="clear" w:color="auto" w:fill="auto"/>
            <w:noWrap/>
            <w:vAlign w:val="bottom"/>
            <w:hideMark/>
          </w:tcPr>
          <w:p w:rsidR="00D97DBF" w:rsidRPr="00517342" w:rsidRDefault="00D97DBF" w:rsidP="00D97DBF">
            <w:pPr>
              <w:spacing w:after="0"/>
              <w:jc w:val="center"/>
              <w:rPr>
                <w:color w:val="000000"/>
                <w:sz w:val="20"/>
                <w:szCs w:val="20"/>
                <w:lang w:eastAsia="en-GB"/>
              </w:rPr>
            </w:pPr>
          </w:p>
        </w:tc>
        <w:tc>
          <w:tcPr>
            <w:tcW w:w="3100" w:type="dxa"/>
            <w:tcBorders>
              <w:top w:val="nil"/>
              <w:left w:val="single" w:sz="4" w:space="0" w:color="auto"/>
              <w:bottom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EMS 2009 report comparators (all HEIs)</w:t>
            </w:r>
          </w:p>
        </w:tc>
        <w:tc>
          <w:tcPr>
            <w:tcW w:w="3206" w:type="dxa"/>
            <w:tcBorders>
              <w:top w:val="nil"/>
              <w:left w:val="single" w:sz="4" w:space="0" w:color="auto"/>
              <w:bottom w:val="single" w:sz="4" w:space="0" w:color="auto"/>
              <w:right w:val="single" w:sz="4" w:space="0" w:color="auto"/>
            </w:tcBorders>
            <w:shd w:val="clear" w:color="auto" w:fill="auto"/>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Academic area per FTE upper quartile</w:t>
            </w:r>
          </w:p>
        </w:tc>
        <w:tc>
          <w:tcPr>
            <w:tcW w:w="1080" w:type="dxa"/>
            <w:tcBorders>
              <w:top w:val="nil"/>
              <w:left w:val="single" w:sz="4" w:space="0" w:color="auto"/>
              <w:bottom w:val="single" w:sz="4" w:space="0" w:color="auto"/>
            </w:tcBorders>
            <w:shd w:val="clear" w:color="auto" w:fill="auto"/>
            <w:noWrap/>
            <w:hideMark/>
          </w:tcPr>
          <w:p w:rsidR="00D97DBF" w:rsidRPr="00517342" w:rsidRDefault="00D97DBF" w:rsidP="00D97DBF">
            <w:pPr>
              <w:spacing w:after="0"/>
              <w:jc w:val="left"/>
              <w:rPr>
                <w:color w:val="000000"/>
                <w:sz w:val="20"/>
                <w:szCs w:val="20"/>
                <w:lang w:eastAsia="en-GB"/>
              </w:rPr>
            </w:pPr>
            <w:r w:rsidRPr="00517342">
              <w:rPr>
                <w:color w:val="000000"/>
                <w:sz w:val="20"/>
                <w:szCs w:val="20"/>
                <w:lang w:eastAsia="en-GB"/>
              </w:rPr>
              <w:t>6.5</w:t>
            </w:r>
          </w:p>
        </w:tc>
      </w:tr>
    </w:tbl>
    <w:p w:rsidR="004D17D6" w:rsidRDefault="004D17D6" w:rsidP="00EF6DA6"/>
    <w:p w:rsidR="004D17D6" w:rsidRDefault="004D17D6" w:rsidP="003F5017">
      <w:r w:rsidRPr="008A7610">
        <w:t>The examples of space per student FTE should not be regarded as norms. The area per FTE is generated by a combination of assumptions about volume of activity, hours of delivery, staff: student ratios and academic staff: support staff ratios. Changes to any of these factors will affect the resulting area per FTE: what is appropriate for one institution may not be for another. For instance, two HEIs with similar student and staff numbers and academic portfolios but different methods of delivery would generate different profiles of space need. The examples enable HEIs to tailor the calculations to reflect their own individual characteristics and methods of delivery.  The way to do this is described in the following section.</w:t>
      </w:r>
    </w:p>
    <w:p w:rsidR="004D17D6" w:rsidRDefault="004D17D6" w:rsidP="003F5017">
      <w:r>
        <w:t>When comparing the space profiles generated by SAMs with existing space, HEIs will need to take account of issues such as the constraints that the size and structure of existing buildings may place on achieving a good fit, particularly where these cannot easily be remedied by remodelling and alteration.</w:t>
      </w:r>
    </w:p>
    <w:p w:rsidR="004D17D6" w:rsidRDefault="004D17D6" w:rsidP="00C538E0">
      <w:pPr>
        <w:pStyle w:val="Heading2"/>
      </w:pPr>
      <w:r w:rsidRPr="008A7610">
        <w:t>Components of space assessment models</w:t>
      </w:r>
    </w:p>
    <w:p w:rsidR="004D17D6" w:rsidRDefault="004D17D6" w:rsidP="003F5017">
      <w:r w:rsidRPr="008A7610">
        <w:t>All the components of the SAM examples can be modified to reflect HEIs’ cu</w:t>
      </w:r>
      <w:r>
        <w:t>rrent practice or future plans.</w:t>
      </w:r>
    </w:p>
    <w:p w:rsidR="004D17D6" w:rsidRDefault="004D17D6" w:rsidP="003F5017">
      <w:r w:rsidRPr="008A7610">
        <w:t>The examples are provided in spreadsheets so that the calculations are transparent, and so that the effect of changing the input data can be tracked (for example to look at changes in teaching methods) and/or any of the coefficients (say to increase projected utilisation rates). They are not recommendations, nor are they set to generate maximum efficiency in space use. If HEIs wish, they can model the effect of using different assumptions to see what the effect might be on the amount of space predicted and as a consequence on the cost of space and on notional levels of carbon emissions.</w:t>
      </w:r>
    </w:p>
    <w:p w:rsidR="004D17D6" w:rsidRDefault="004D17D6" w:rsidP="003F5017">
      <w:r w:rsidRPr="008A7610">
        <w:t>The main components of the examples</w:t>
      </w:r>
      <w:r>
        <w:t xml:space="preserve"> – student numbers; student hours; academic and support staff numbers; utilisation; workplace areas –</w:t>
      </w:r>
      <w:r w:rsidRPr="008A7610">
        <w:t xml:space="preserve"> are </w:t>
      </w:r>
      <w:r>
        <w:t>described in turn below</w:t>
      </w:r>
      <w:r w:rsidRPr="008A7610">
        <w:t>.</w:t>
      </w:r>
    </w:p>
    <w:p w:rsidR="004D17D6" w:rsidRDefault="004D17D6" w:rsidP="00C538E0">
      <w:pPr>
        <w:pStyle w:val="Heading4"/>
      </w:pPr>
      <w:r w:rsidRPr="008A7610">
        <w:t>Student numbers</w:t>
      </w:r>
    </w:p>
    <w:p w:rsidR="004D17D6" w:rsidRDefault="004D17D6" w:rsidP="003F5017">
      <w:r w:rsidRPr="008A7610">
        <w:t>The student FTE numbers in the examples are notional. HEIs will need to provide their own data.</w:t>
      </w:r>
      <w:r>
        <w:t xml:space="preserve"> Some departments and schools provide service teaching for others. Where that it is the case, it will be necessary to capture all the student numbers to assess the full load on space. </w:t>
      </w:r>
    </w:p>
    <w:p w:rsidR="004D17D6" w:rsidRDefault="004D17D6" w:rsidP="00C538E0">
      <w:pPr>
        <w:pStyle w:val="Heading4"/>
      </w:pPr>
      <w:r w:rsidRPr="008A7610">
        <w:t>Student hours</w:t>
      </w:r>
    </w:p>
    <w:p w:rsidR="004D17D6" w:rsidRDefault="004D17D6" w:rsidP="003F5017">
      <w:r w:rsidRPr="008A7610">
        <w:t xml:space="preserve">The student hours data in each SAM example draw on Higher Education Policy Institute findings on student workload by subject (reference). They also use Higher Education Academy National Subject Profiles and sources, such as the Review of the Student Learning Experience in Chemistry (reference). As a consequence, the current examples reflect available data on averages in terms of input data for teaching/learning hours. The SAM spreadsheet input for this can be changed to include </w:t>
      </w:r>
      <w:r>
        <w:t xml:space="preserve">individual institutional </w:t>
      </w:r>
      <w:r w:rsidRPr="008A7610">
        <w:t>practice, and to ensure that where appropriate non-formal contact and private study time in academic-related spaces is also included. The data are presented on the basis of an average week – similar to HEPI/HEA approaches.</w:t>
      </w:r>
    </w:p>
    <w:p w:rsidR="004D17D6" w:rsidRDefault="004D17D6" w:rsidP="00C538E0">
      <w:pPr>
        <w:pStyle w:val="Heading4"/>
      </w:pPr>
      <w:r w:rsidRPr="008A7610">
        <w:t>Academic and support staff numbers</w:t>
      </w:r>
    </w:p>
    <w:p w:rsidR="004D17D6" w:rsidRDefault="004D17D6" w:rsidP="003F5017">
      <w:r w:rsidRPr="008A7610">
        <w:t>Academic staff numbers are based on average HESA SSR data by cost centre. Support staff numbers are also drawn from HESA academic staff: support staff ratios.</w:t>
      </w:r>
    </w:p>
    <w:p w:rsidR="004D17D6" w:rsidRDefault="004D17D6" w:rsidP="00C538E0">
      <w:pPr>
        <w:pStyle w:val="Heading4"/>
      </w:pPr>
      <w:r w:rsidRPr="008A7610">
        <w:t>Utilisation</w:t>
      </w:r>
    </w:p>
    <w:p w:rsidR="004D17D6" w:rsidRDefault="004D17D6" w:rsidP="003F5017">
      <w:r w:rsidRPr="008A7610">
        <w:t>The examples are based on a 40 hour core timetabled week.</w:t>
      </w:r>
    </w:p>
    <w:p w:rsidR="004D17D6" w:rsidRDefault="004D17D6" w:rsidP="003F5017">
      <w:r w:rsidRPr="008A7610">
        <w:t>The scheduled frequency and occupancy rates for the use of space are not intended to reflect actual levels of surveyed utilisation. They are based on assumptions about planned or timetabled use and not on actual or surveyed</w:t>
      </w:r>
      <w:r>
        <w:t xml:space="preserve"> levels of utilisation. </w:t>
      </w:r>
      <w:r w:rsidRPr="008A7610">
        <w:t>There is a wide range across the sector both in terms of planned or timetabled utilisation and actual levels of use. In many cases, there is the opportunity that exists to manage space more effectively and to improve levels of uti</w:t>
      </w:r>
      <w:r>
        <w:t>lisation.</w:t>
      </w:r>
    </w:p>
    <w:p w:rsidR="004D17D6" w:rsidRDefault="004D17D6" w:rsidP="00C538E0">
      <w:pPr>
        <w:pStyle w:val="Heading4"/>
      </w:pPr>
      <w:r w:rsidRPr="008A7610">
        <w:t>Workplace areas</w:t>
      </w:r>
    </w:p>
    <w:p w:rsidR="004D17D6" w:rsidRDefault="004D17D6" w:rsidP="003F5017">
      <w:r w:rsidRPr="008A7610">
        <w:t xml:space="preserve">The areas per workplace for teaching and learning spaces and offices are net internal areas. The coefficients for office provision include workplace standards plus allowance for sharing where FTE fractions are smaller than 0.5. There is provision for an allowance of research space per member of staff and research students where appropriate. </w:t>
      </w:r>
    </w:p>
    <w:p w:rsidR="004D17D6" w:rsidRDefault="004D17D6" w:rsidP="003F5017">
      <w:r w:rsidRPr="008A7610">
        <w:t xml:space="preserve">A list of the default factors most commonly used in the examples is given in </w:t>
      </w:r>
      <w:r w:rsidR="00047E09">
        <w:fldChar w:fldCharType="begin"/>
      </w:r>
      <w:r>
        <w:instrText xml:space="preserve"> REF _Ref254194042 \h </w:instrText>
      </w:r>
      <w:r w:rsidR="00047E09">
        <w:fldChar w:fldCharType="separate"/>
      </w:r>
      <w:r w:rsidR="00340977" w:rsidRPr="0095577D">
        <w:t xml:space="preserve">Table </w:t>
      </w:r>
      <w:r w:rsidR="00340977">
        <w:rPr>
          <w:noProof/>
        </w:rPr>
        <w:t>1</w:t>
      </w:r>
      <w:r w:rsidR="00047E09">
        <w:fldChar w:fldCharType="end"/>
      </w:r>
      <w:r w:rsidRPr="008A7610">
        <w:t>.</w:t>
      </w:r>
    </w:p>
    <w:p w:rsidR="004D17D6" w:rsidRPr="00004E60" w:rsidRDefault="004D17D6" w:rsidP="00DF1B8E"/>
    <w:tbl>
      <w:tblPr>
        <w:tblW w:w="0" w:type="auto"/>
        <w:tblLayout w:type="fixed"/>
        <w:tblLook w:val="0000" w:firstRow="0" w:lastRow="0" w:firstColumn="0" w:lastColumn="0" w:noHBand="0" w:noVBand="0"/>
      </w:tblPr>
      <w:tblGrid>
        <w:gridCol w:w="6062"/>
        <w:gridCol w:w="1743"/>
      </w:tblGrid>
      <w:tr w:rsidR="004D17D6" w:rsidRPr="00E56C7E" w:rsidTr="00057E85">
        <w:trPr>
          <w:cantSplit/>
          <w:tblHeader/>
        </w:trPr>
        <w:tc>
          <w:tcPr>
            <w:tcW w:w="7805" w:type="dxa"/>
            <w:gridSpan w:val="2"/>
            <w:tcBorders>
              <w:top w:val="single" w:sz="4" w:space="0" w:color="808080"/>
              <w:left w:val="single" w:sz="4" w:space="0" w:color="808080"/>
              <w:bottom w:val="single" w:sz="4" w:space="0" w:color="808080"/>
              <w:right w:val="single" w:sz="4" w:space="0" w:color="808080"/>
            </w:tcBorders>
            <w:shd w:val="pct10" w:color="auto" w:fill="auto"/>
          </w:tcPr>
          <w:p w:rsidR="004D17D6" w:rsidRPr="0095577D" w:rsidRDefault="004D17D6" w:rsidP="00D37F59">
            <w:pPr>
              <w:pStyle w:val="StyleCaptionCalibriBefore14ptAfter14pt"/>
              <w:keepNext/>
            </w:pPr>
            <w:bookmarkStart w:id="5" w:name="_Ref254194042"/>
            <w:r w:rsidRPr="0095577D">
              <w:t xml:space="preserve">Table </w:t>
            </w:r>
            <w:r w:rsidR="00B975BF">
              <w:fldChar w:fldCharType="begin"/>
            </w:r>
            <w:r w:rsidR="00B975BF">
              <w:instrText xml:space="preserve"> SEQ Table \* ARABIC </w:instrText>
            </w:r>
            <w:r w:rsidR="00B975BF">
              <w:fldChar w:fldCharType="separate"/>
            </w:r>
            <w:r w:rsidR="00340977">
              <w:rPr>
                <w:noProof/>
              </w:rPr>
              <w:t>1</w:t>
            </w:r>
            <w:r w:rsidR="00B975BF">
              <w:rPr>
                <w:noProof/>
              </w:rPr>
              <w:fldChar w:fldCharType="end"/>
            </w:r>
            <w:bookmarkEnd w:id="5"/>
            <w:r w:rsidRPr="0095577D">
              <w:t xml:space="preserve">: </w:t>
            </w:r>
            <w:r w:rsidRPr="008A7610">
              <w:t>SAM default factors and assumptions</w:t>
            </w:r>
            <w:r>
              <w:t xml:space="preserve"> for academic factors</w:t>
            </w:r>
          </w:p>
        </w:tc>
      </w:tr>
      <w:tr w:rsidR="004D17D6" w:rsidRPr="00E56C7E" w:rsidTr="00057E85">
        <w:trPr>
          <w:cantSplit/>
          <w:tblHeader/>
        </w:trPr>
        <w:tc>
          <w:tcPr>
            <w:tcW w:w="6062" w:type="dxa"/>
            <w:tcBorders>
              <w:top w:val="single" w:sz="4" w:space="0" w:color="808080"/>
              <w:left w:val="single" w:sz="4" w:space="0" w:color="808080"/>
              <w:bottom w:val="single" w:sz="4" w:space="0" w:color="808080"/>
            </w:tcBorders>
            <w:vAlign w:val="bottom"/>
          </w:tcPr>
          <w:p w:rsidR="004D17D6" w:rsidRPr="0095577D" w:rsidRDefault="004D17D6" w:rsidP="00DF1B8E">
            <w:pPr>
              <w:keepNext/>
              <w:jc w:val="left"/>
              <w:rPr>
                <w:b/>
              </w:rPr>
            </w:pPr>
            <w:r>
              <w:rPr>
                <w:b/>
              </w:rPr>
              <w:t>Factors</w:t>
            </w:r>
          </w:p>
        </w:tc>
        <w:tc>
          <w:tcPr>
            <w:tcW w:w="1743" w:type="dxa"/>
            <w:tcBorders>
              <w:top w:val="single" w:sz="4" w:space="0" w:color="808080"/>
              <w:bottom w:val="single" w:sz="4" w:space="0" w:color="808080"/>
              <w:right w:val="single" w:sz="4" w:space="0" w:color="808080"/>
            </w:tcBorders>
            <w:vAlign w:val="bottom"/>
          </w:tcPr>
          <w:p w:rsidR="004D17D6" w:rsidRPr="0095577D" w:rsidRDefault="004D17D6" w:rsidP="00DF1B8E">
            <w:pPr>
              <w:keepNext/>
              <w:jc w:val="left"/>
              <w:rPr>
                <w:b/>
              </w:rPr>
            </w:pPr>
            <w:r>
              <w:rPr>
                <w:b/>
              </w:rPr>
              <w:t>Assumptions</w:t>
            </w:r>
          </w:p>
        </w:tc>
      </w:tr>
      <w:tr w:rsidR="004D17D6" w:rsidRPr="00A96FC9" w:rsidTr="00057E85">
        <w:trPr>
          <w:cantSplit/>
        </w:trPr>
        <w:tc>
          <w:tcPr>
            <w:tcW w:w="6062" w:type="dxa"/>
            <w:tcBorders>
              <w:top w:val="single" w:sz="4" w:space="0" w:color="808080"/>
              <w:left w:val="single" w:sz="4" w:space="0" w:color="808080"/>
            </w:tcBorders>
          </w:tcPr>
          <w:p w:rsidR="004D17D6" w:rsidRPr="00057E85" w:rsidRDefault="004D17D6" w:rsidP="00A96FC9">
            <w:pPr>
              <w:rPr>
                <w:b/>
                <w:color w:val="000000"/>
                <w:sz w:val="20"/>
                <w:lang w:eastAsia="en-GB"/>
              </w:rPr>
            </w:pPr>
            <w:r w:rsidRPr="00057E85">
              <w:rPr>
                <w:b/>
                <w:sz w:val="20"/>
              </w:rPr>
              <w:t>Parameters for time</w:t>
            </w:r>
          </w:p>
        </w:tc>
        <w:tc>
          <w:tcPr>
            <w:tcW w:w="1743" w:type="dxa"/>
            <w:tcBorders>
              <w:top w:val="single" w:sz="4" w:space="0" w:color="808080"/>
              <w:left w:val="nil"/>
              <w:right w:val="single" w:sz="4" w:space="0" w:color="808080"/>
            </w:tcBorders>
          </w:tcPr>
          <w:p w:rsidR="004D17D6" w:rsidRPr="00057E85" w:rsidRDefault="004D17D6" w:rsidP="00A96FC9">
            <w:pPr>
              <w:rPr>
                <w:b/>
                <w:color w:val="000000"/>
                <w:sz w:val="20"/>
                <w:lang w:eastAsia="en-GB"/>
              </w:rPr>
            </w:pPr>
          </w:p>
        </w:tc>
      </w:tr>
      <w:tr w:rsidR="004D17D6" w:rsidRPr="00A96FC9" w:rsidTr="00057E85">
        <w:trPr>
          <w:cantSplit/>
        </w:trPr>
        <w:tc>
          <w:tcPr>
            <w:tcW w:w="6062" w:type="dxa"/>
            <w:tcBorders>
              <w:left w:val="single" w:sz="4" w:space="0" w:color="808080"/>
            </w:tcBorders>
          </w:tcPr>
          <w:p w:rsidR="004D17D6" w:rsidRPr="00057E85" w:rsidRDefault="004D17D6" w:rsidP="00A96FC9">
            <w:pPr>
              <w:rPr>
                <w:sz w:val="20"/>
              </w:rPr>
            </w:pPr>
            <w:r w:rsidRPr="00057E85">
              <w:rPr>
                <w:sz w:val="20"/>
              </w:rPr>
              <w:t xml:space="preserve">Core week timetabled hours </w:t>
            </w:r>
          </w:p>
        </w:tc>
        <w:tc>
          <w:tcPr>
            <w:tcW w:w="1743" w:type="dxa"/>
            <w:tcBorders>
              <w:right w:val="single" w:sz="4" w:space="0" w:color="808080"/>
            </w:tcBorders>
            <w:vAlign w:val="bottom"/>
          </w:tcPr>
          <w:p w:rsidR="004D17D6" w:rsidRPr="00057E85" w:rsidRDefault="004D17D6" w:rsidP="00A96FC9">
            <w:pPr>
              <w:rPr>
                <w:sz w:val="20"/>
              </w:rPr>
            </w:pPr>
            <w:r w:rsidRPr="00057E85">
              <w:rPr>
                <w:sz w:val="20"/>
              </w:rPr>
              <w:t>40 hours</w:t>
            </w:r>
          </w:p>
        </w:tc>
      </w:tr>
      <w:tr w:rsidR="004D17D6" w:rsidRPr="00A96FC9" w:rsidTr="00057E85">
        <w:trPr>
          <w:cantSplit/>
        </w:trPr>
        <w:tc>
          <w:tcPr>
            <w:tcW w:w="6062" w:type="dxa"/>
            <w:tcBorders>
              <w:left w:val="single" w:sz="4" w:space="0" w:color="808080"/>
            </w:tcBorders>
          </w:tcPr>
          <w:p w:rsidR="004D17D6" w:rsidRPr="00057E85" w:rsidRDefault="004D17D6" w:rsidP="00057E85">
            <w:pPr>
              <w:rPr>
                <w:b/>
                <w:color w:val="000000"/>
                <w:sz w:val="20"/>
                <w:lang w:eastAsia="en-GB"/>
              </w:rPr>
            </w:pPr>
            <w:r w:rsidRPr="00057E85">
              <w:rPr>
                <w:b/>
                <w:sz w:val="20"/>
              </w:rPr>
              <w:t>Planned (not surveyed) utilisation rates</w:t>
            </w:r>
          </w:p>
        </w:tc>
        <w:tc>
          <w:tcPr>
            <w:tcW w:w="1743" w:type="dxa"/>
            <w:tcBorders>
              <w:left w:val="nil"/>
              <w:right w:val="single" w:sz="4" w:space="0" w:color="808080"/>
            </w:tcBorders>
          </w:tcPr>
          <w:p w:rsidR="004D17D6" w:rsidRPr="00057E85" w:rsidRDefault="004D17D6" w:rsidP="00057E85">
            <w:pPr>
              <w:rPr>
                <w:b/>
                <w:color w:val="000000"/>
                <w:sz w:val="20"/>
                <w:lang w:eastAsia="en-GB"/>
              </w:rPr>
            </w:pPr>
          </w:p>
        </w:tc>
      </w:tr>
      <w:tr w:rsidR="004D17D6" w:rsidRPr="00A96FC9" w:rsidTr="00057E85">
        <w:trPr>
          <w:cantSplit/>
        </w:trPr>
        <w:tc>
          <w:tcPr>
            <w:tcW w:w="6062" w:type="dxa"/>
            <w:tcBorders>
              <w:left w:val="single" w:sz="4" w:space="0" w:color="808080"/>
            </w:tcBorders>
          </w:tcPr>
          <w:p w:rsidR="004D17D6" w:rsidRPr="00057E85" w:rsidRDefault="004D17D6" w:rsidP="00A96FC9">
            <w:pPr>
              <w:rPr>
                <w:sz w:val="20"/>
              </w:rPr>
            </w:pPr>
            <w:r w:rsidRPr="00057E85">
              <w:rPr>
                <w:sz w:val="20"/>
              </w:rPr>
              <w:t>Frequency rate for general purpose and computing teaching</w:t>
            </w:r>
          </w:p>
        </w:tc>
        <w:tc>
          <w:tcPr>
            <w:tcW w:w="1743" w:type="dxa"/>
            <w:tcBorders>
              <w:right w:val="single" w:sz="4" w:space="0" w:color="808080"/>
            </w:tcBorders>
            <w:vAlign w:val="bottom"/>
          </w:tcPr>
          <w:p w:rsidR="004D17D6" w:rsidRPr="00057E85" w:rsidRDefault="004D17D6" w:rsidP="00A96FC9">
            <w:pPr>
              <w:rPr>
                <w:sz w:val="20"/>
              </w:rPr>
            </w:pPr>
            <w:r w:rsidRPr="00057E85">
              <w:rPr>
                <w:sz w:val="20"/>
              </w:rPr>
              <w:t>80%</w:t>
            </w:r>
          </w:p>
        </w:tc>
      </w:tr>
      <w:tr w:rsidR="004D17D6" w:rsidRPr="00A96FC9" w:rsidTr="00057E85">
        <w:trPr>
          <w:cantSplit/>
        </w:trPr>
        <w:tc>
          <w:tcPr>
            <w:tcW w:w="6062" w:type="dxa"/>
            <w:tcBorders>
              <w:left w:val="single" w:sz="4" w:space="0" w:color="808080"/>
            </w:tcBorders>
          </w:tcPr>
          <w:p w:rsidR="004D17D6" w:rsidRPr="00057E85" w:rsidRDefault="004D17D6" w:rsidP="00A96FC9">
            <w:pPr>
              <w:rPr>
                <w:sz w:val="20"/>
              </w:rPr>
            </w:pPr>
            <w:r w:rsidRPr="00057E85">
              <w:rPr>
                <w:sz w:val="20"/>
              </w:rPr>
              <w:t>Frequency rate for labs, workshops, studios</w:t>
            </w:r>
          </w:p>
        </w:tc>
        <w:tc>
          <w:tcPr>
            <w:tcW w:w="1743" w:type="dxa"/>
            <w:tcBorders>
              <w:right w:val="single" w:sz="4" w:space="0" w:color="808080"/>
            </w:tcBorders>
            <w:vAlign w:val="bottom"/>
          </w:tcPr>
          <w:p w:rsidR="004D17D6" w:rsidRPr="00057E85" w:rsidRDefault="004D17D6" w:rsidP="00A96FC9">
            <w:pPr>
              <w:rPr>
                <w:sz w:val="20"/>
              </w:rPr>
            </w:pPr>
            <w:r w:rsidRPr="00057E85">
              <w:rPr>
                <w:sz w:val="20"/>
              </w:rPr>
              <w:t>70%</w:t>
            </w:r>
          </w:p>
        </w:tc>
      </w:tr>
      <w:tr w:rsidR="004D17D6" w:rsidRPr="00A96FC9" w:rsidTr="00057E85">
        <w:trPr>
          <w:cantSplit/>
        </w:trPr>
        <w:tc>
          <w:tcPr>
            <w:tcW w:w="6062" w:type="dxa"/>
            <w:tcBorders>
              <w:left w:val="single" w:sz="4" w:space="0" w:color="808080"/>
            </w:tcBorders>
          </w:tcPr>
          <w:p w:rsidR="004D17D6" w:rsidRPr="00057E85" w:rsidRDefault="004D17D6" w:rsidP="00A96FC9">
            <w:pPr>
              <w:rPr>
                <w:sz w:val="20"/>
              </w:rPr>
            </w:pPr>
            <w:r w:rsidRPr="00057E85">
              <w:rPr>
                <w:sz w:val="20"/>
              </w:rPr>
              <w:t xml:space="preserve">Occupancy rate for general purpose teaching </w:t>
            </w:r>
          </w:p>
        </w:tc>
        <w:tc>
          <w:tcPr>
            <w:tcW w:w="1743" w:type="dxa"/>
            <w:tcBorders>
              <w:right w:val="single" w:sz="4" w:space="0" w:color="808080"/>
            </w:tcBorders>
            <w:vAlign w:val="bottom"/>
          </w:tcPr>
          <w:p w:rsidR="004D17D6" w:rsidRPr="00057E85" w:rsidRDefault="004D17D6" w:rsidP="00A96FC9">
            <w:pPr>
              <w:rPr>
                <w:sz w:val="20"/>
              </w:rPr>
            </w:pPr>
            <w:r w:rsidRPr="00057E85">
              <w:rPr>
                <w:sz w:val="20"/>
              </w:rPr>
              <w:t>70%</w:t>
            </w:r>
          </w:p>
        </w:tc>
      </w:tr>
      <w:tr w:rsidR="004D17D6" w:rsidRPr="00A96FC9" w:rsidTr="00057E85">
        <w:trPr>
          <w:cantSplit/>
        </w:trPr>
        <w:tc>
          <w:tcPr>
            <w:tcW w:w="6062" w:type="dxa"/>
            <w:tcBorders>
              <w:left w:val="single" w:sz="4" w:space="0" w:color="808080"/>
            </w:tcBorders>
          </w:tcPr>
          <w:p w:rsidR="004D17D6" w:rsidRPr="00057E85" w:rsidRDefault="004D17D6" w:rsidP="00A96FC9">
            <w:pPr>
              <w:rPr>
                <w:sz w:val="20"/>
              </w:rPr>
            </w:pPr>
            <w:r w:rsidRPr="00057E85">
              <w:rPr>
                <w:sz w:val="20"/>
              </w:rPr>
              <w:t xml:space="preserve">Occupancy rate for computing teaching </w:t>
            </w:r>
          </w:p>
        </w:tc>
        <w:tc>
          <w:tcPr>
            <w:tcW w:w="1743" w:type="dxa"/>
            <w:tcBorders>
              <w:right w:val="single" w:sz="4" w:space="0" w:color="808080"/>
            </w:tcBorders>
            <w:vAlign w:val="bottom"/>
          </w:tcPr>
          <w:p w:rsidR="004D17D6" w:rsidRPr="00057E85" w:rsidRDefault="004D17D6" w:rsidP="00A96FC9">
            <w:pPr>
              <w:rPr>
                <w:sz w:val="20"/>
              </w:rPr>
            </w:pPr>
            <w:r w:rsidRPr="00057E85">
              <w:rPr>
                <w:sz w:val="20"/>
              </w:rPr>
              <w:t>75%</w:t>
            </w:r>
          </w:p>
        </w:tc>
      </w:tr>
      <w:tr w:rsidR="004D17D6" w:rsidRPr="00A96FC9" w:rsidTr="00057E85">
        <w:trPr>
          <w:cantSplit/>
        </w:trPr>
        <w:tc>
          <w:tcPr>
            <w:tcW w:w="6062" w:type="dxa"/>
            <w:tcBorders>
              <w:left w:val="single" w:sz="4" w:space="0" w:color="808080"/>
            </w:tcBorders>
          </w:tcPr>
          <w:p w:rsidR="004D17D6" w:rsidRPr="00057E85" w:rsidRDefault="004D17D6" w:rsidP="00A96FC9">
            <w:pPr>
              <w:rPr>
                <w:sz w:val="20"/>
              </w:rPr>
            </w:pPr>
            <w:r w:rsidRPr="00057E85">
              <w:rPr>
                <w:sz w:val="20"/>
              </w:rPr>
              <w:t xml:space="preserve">Occupancy rate for labs, workshops, studios </w:t>
            </w:r>
          </w:p>
        </w:tc>
        <w:tc>
          <w:tcPr>
            <w:tcW w:w="1743" w:type="dxa"/>
            <w:tcBorders>
              <w:right w:val="single" w:sz="4" w:space="0" w:color="808080"/>
            </w:tcBorders>
            <w:vAlign w:val="bottom"/>
          </w:tcPr>
          <w:p w:rsidR="004D17D6" w:rsidRPr="00057E85" w:rsidRDefault="004D17D6" w:rsidP="00A96FC9">
            <w:pPr>
              <w:rPr>
                <w:sz w:val="20"/>
              </w:rPr>
            </w:pPr>
            <w:r w:rsidRPr="00057E85">
              <w:rPr>
                <w:sz w:val="20"/>
              </w:rPr>
              <w:t>70%</w:t>
            </w:r>
          </w:p>
        </w:tc>
      </w:tr>
      <w:tr w:rsidR="004D17D6" w:rsidRPr="00A96FC9" w:rsidTr="00057E85">
        <w:trPr>
          <w:cantSplit/>
        </w:trPr>
        <w:tc>
          <w:tcPr>
            <w:tcW w:w="6062" w:type="dxa"/>
            <w:tcBorders>
              <w:left w:val="single" w:sz="4" w:space="0" w:color="808080"/>
            </w:tcBorders>
          </w:tcPr>
          <w:p w:rsidR="004D17D6" w:rsidRPr="00057E85" w:rsidRDefault="004D17D6" w:rsidP="00A96FC9">
            <w:pPr>
              <w:rPr>
                <w:b/>
                <w:color w:val="000000"/>
                <w:sz w:val="20"/>
                <w:lang w:eastAsia="en-GB"/>
              </w:rPr>
            </w:pPr>
            <w:r w:rsidRPr="00057E85">
              <w:rPr>
                <w:b/>
                <w:sz w:val="20"/>
              </w:rPr>
              <w:t>Areas per workplace (NIA)</w:t>
            </w:r>
          </w:p>
        </w:tc>
        <w:tc>
          <w:tcPr>
            <w:tcW w:w="1743" w:type="dxa"/>
            <w:tcBorders>
              <w:left w:val="nil"/>
              <w:right w:val="single" w:sz="4" w:space="0" w:color="808080"/>
            </w:tcBorders>
          </w:tcPr>
          <w:p w:rsidR="004D17D6" w:rsidRPr="00057E85" w:rsidRDefault="004D17D6" w:rsidP="00A96FC9">
            <w:pPr>
              <w:rPr>
                <w:b/>
                <w:color w:val="000000"/>
                <w:sz w:val="20"/>
                <w:lang w:eastAsia="en-GB"/>
              </w:rPr>
            </w:pPr>
          </w:p>
        </w:tc>
      </w:tr>
      <w:tr w:rsidR="004D17D6" w:rsidRPr="00A96FC9" w:rsidTr="00057E85">
        <w:trPr>
          <w:cantSplit/>
        </w:trPr>
        <w:tc>
          <w:tcPr>
            <w:tcW w:w="6062" w:type="dxa"/>
            <w:tcBorders>
              <w:left w:val="single" w:sz="4" w:space="0" w:color="808080"/>
            </w:tcBorders>
          </w:tcPr>
          <w:p w:rsidR="004D17D6" w:rsidRPr="00057E85" w:rsidRDefault="004D17D6" w:rsidP="00A96FC9">
            <w:pPr>
              <w:rPr>
                <w:sz w:val="20"/>
              </w:rPr>
            </w:pPr>
            <w:r w:rsidRPr="00057E85">
              <w:rPr>
                <w:sz w:val="20"/>
              </w:rPr>
              <w:t>Lecture theatres</w:t>
            </w:r>
          </w:p>
        </w:tc>
        <w:tc>
          <w:tcPr>
            <w:tcW w:w="1743" w:type="dxa"/>
            <w:tcBorders>
              <w:right w:val="single" w:sz="4" w:space="0" w:color="808080"/>
            </w:tcBorders>
            <w:vAlign w:val="bottom"/>
          </w:tcPr>
          <w:p w:rsidR="004D17D6" w:rsidRPr="00057E85" w:rsidRDefault="004D17D6" w:rsidP="00A96FC9">
            <w:pPr>
              <w:rPr>
                <w:sz w:val="20"/>
              </w:rPr>
            </w:pPr>
            <w:r w:rsidRPr="00057E85">
              <w:rPr>
                <w:sz w:val="20"/>
              </w:rPr>
              <w:t>1m2</w:t>
            </w:r>
          </w:p>
        </w:tc>
      </w:tr>
      <w:tr w:rsidR="004D17D6" w:rsidRPr="00A96FC9" w:rsidTr="00057E85">
        <w:trPr>
          <w:cantSplit/>
        </w:trPr>
        <w:tc>
          <w:tcPr>
            <w:tcW w:w="6062" w:type="dxa"/>
            <w:tcBorders>
              <w:left w:val="single" w:sz="4" w:space="0" w:color="808080"/>
            </w:tcBorders>
          </w:tcPr>
          <w:p w:rsidR="004D17D6" w:rsidRPr="00057E85" w:rsidRDefault="004D17D6" w:rsidP="00A96FC9">
            <w:pPr>
              <w:rPr>
                <w:sz w:val="20"/>
              </w:rPr>
            </w:pPr>
            <w:r w:rsidRPr="00057E85">
              <w:rPr>
                <w:sz w:val="20"/>
              </w:rPr>
              <w:t>Seminar rooms</w:t>
            </w:r>
          </w:p>
        </w:tc>
        <w:tc>
          <w:tcPr>
            <w:tcW w:w="1743" w:type="dxa"/>
            <w:tcBorders>
              <w:right w:val="single" w:sz="4" w:space="0" w:color="808080"/>
            </w:tcBorders>
            <w:vAlign w:val="bottom"/>
          </w:tcPr>
          <w:p w:rsidR="004D17D6" w:rsidRPr="00057E85" w:rsidRDefault="004D17D6" w:rsidP="00A96FC9">
            <w:pPr>
              <w:rPr>
                <w:sz w:val="20"/>
              </w:rPr>
            </w:pPr>
            <w:r w:rsidRPr="00057E85">
              <w:rPr>
                <w:sz w:val="20"/>
              </w:rPr>
              <w:t>2.25m2</w:t>
            </w:r>
          </w:p>
        </w:tc>
      </w:tr>
      <w:tr w:rsidR="004D17D6" w:rsidRPr="00A96FC9" w:rsidTr="00057E85">
        <w:trPr>
          <w:cantSplit/>
        </w:trPr>
        <w:tc>
          <w:tcPr>
            <w:tcW w:w="6062" w:type="dxa"/>
            <w:tcBorders>
              <w:left w:val="single" w:sz="4" w:space="0" w:color="808080"/>
            </w:tcBorders>
          </w:tcPr>
          <w:p w:rsidR="004D17D6" w:rsidRPr="00057E85" w:rsidRDefault="004D17D6" w:rsidP="00A96FC9">
            <w:pPr>
              <w:rPr>
                <w:sz w:val="20"/>
              </w:rPr>
            </w:pPr>
            <w:r w:rsidRPr="00057E85">
              <w:rPr>
                <w:sz w:val="20"/>
              </w:rPr>
              <w:t>Tutorial rooms</w:t>
            </w:r>
          </w:p>
        </w:tc>
        <w:tc>
          <w:tcPr>
            <w:tcW w:w="1743" w:type="dxa"/>
            <w:tcBorders>
              <w:right w:val="single" w:sz="4" w:space="0" w:color="808080"/>
            </w:tcBorders>
            <w:vAlign w:val="bottom"/>
          </w:tcPr>
          <w:p w:rsidR="004D17D6" w:rsidRPr="00057E85" w:rsidRDefault="004D17D6" w:rsidP="00A96FC9">
            <w:pPr>
              <w:rPr>
                <w:sz w:val="20"/>
              </w:rPr>
            </w:pPr>
            <w:r w:rsidRPr="00057E85">
              <w:rPr>
                <w:sz w:val="20"/>
              </w:rPr>
              <w:t>2.25m3</w:t>
            </w:r>
          </w:p>
        </w:tc>
      </w:tr>
      <w:tr w:rsidR="004D17D6" w:rsidRPr="00A96FC9" w:rsidTr="00057E85">
        <w:trPr>
          <w:cantSplit/>
        </w:trPr>
        <w:tc>
          <w:tcPr>
            <w:tcW w:w="6062" w:type="dxa"/>
            <w:tcBorders>
              <w:left w:val="single" w:sz="4" w:space="0" w:color="808080"/>
            </w:tcBorders>
          </w:tcPr>
          <w:p w:rsidR="004D17D6" w:rsidRPr="00057E85" w:rsidRDefault="004D17D6" w:rsidP="00A96FC9">
            <w:pPr>
              <w:rPr>
                <w:sz w:val="20"/>
              </w:rPr>
            </w:pPr>
            <w:r w:rsidRPr="00057E85">
              <w:rPr>
                <w:sz w:val="20"/>
              </w:rPr>
              <w:t>Computing</w:t>
            </w:r>
          </w:p>
        </w:tc>
        <w:tc>
          <w:tcPr>
            <w:tcW w:w="1743" w:type="dxa"/>
            <w:tcBorders>
              <w:right w:val="single" w:sz="4" w:space="0" w:color="808080"/>
            </w:tcBorders>
            <w:vAlign w:val="bottom"/>
          </w:tcPr>
          <w:p w:rsidR="004D17D6" w:rsidRPr="00057E85" w:rsidRDefault="004D17D6" w:rsidP="00A96FC9">
            <w:pPr>
              <w:rPr>
                <w:sz w:val="20"/>
              </w:rPr>
            </w:pPr>
            <w:r w:rsidRPr="00057E85">
              <w:rPr>
                <w:sz w:val="20"/>
              </w:rPr>
              <w:t>2.75m2</w:t>
            </w:r>
          </w:p>
        </w:tc>
      </w:tr>
      <w:tr w:rsidR="004D17D6" w:rsidRPr="00A96FC9" w:rsidTr="00057E85">
        <w:trPr>
          <w:cantSplit/>
        </w:trPr>
        <w:tc>
          <w:tcPr>
            <w:tcW w:w="6062" w:type="dxa"/>
            <w:tcBorders>
              <w:left w:val="single" w:sz="4" w:space="0" w:color="808080"/>
            </w:tcBorders>
          </w:tcPr>
          <w:p w:rsidR="004D17D6" w:rsidRPr="00057E85" w:rsidRDefault="004D17D6" w:rsidP="00A96FC9">
            <w:pPr>
              <w:rPr>
                <w:sz w:val="20"/>
              </w:rPr>
            </w:pPr>
            <w:r w:rsidRPr="00057E85">
              <w:rPr>
                <w:sz w:val="20"/>
              </w:rPr>
              <w:t>Workshops</w:t>
            </w:r>
          </w:p>
        </w:tc>
        <w:tc>
          <w:tcPr>
            <w:tcW w:w="1743" w:type="dxa"/>
            <w:tcBorders>
              <w:right w:val="single" w:sz="4" w:space="0" w:color="808080"/>
            </w:tcBorders>
            <w:vAlign w:val="bottom"/>
          </w:tcPr>
          <w:p w:rsidR="004D17D6" w:rsidRPr="00057E85" w:rsidRDefault="004D17D6" w:rsidP="00A96FC9">
            <w:pPr>
              <w:rPr>
                <w:sz w:val="20"/>
              </w:rPr>
            </w:pPr>
            <w:r w:rsidRPr="00057E85">
              <w:rPr>
                <w:sz w:val="20"/>
              </w:rPr>
              <w:t>4m2 plus ancillary allowance of 10%</w:t>
            </w:r>
          </w:p>
        </w:tc>
      </w:tr>
      <w:tr w:rsidR="004D17D6" w:rsidRPr="00A96FC9" w:rsidTr="00057E85">
        <w:trPr>
          <w:cantSplit/>
        </w:trPr>
        <w:tc>
          <w:tcPr>
            <w:tcW w:w="6062" w:type="dxa"/>
            <w:tcBorders>
              <w:left w:val="single" w:sz="4" w:space="0" w:color="808080"/>
            </w:tcBorders>
          </w:tcPr>
          <w:p w:rsidR="004D17D6" w:rsidRPr="00057E85" w:rsidRDefault="004D17D6" w:rsidP="00A96FC9">
            <w:pPr>
              <w:rPr>
                <w:sz w:val="20"/>
              </w:rPr>
            </w:pPr>
            <w:r w:rsidRPr="00057E85">
              <w:rPr>
                <w:sz w:val="20"/>
              </w:rPr>
              <w:t xml:space="preserve">Studios </w:t>
            </w:r>
          </w:p>
        </w:tc>
        <w:tc>
          <w:tcPr>
            <w:tcW w:w="1743" w:type="dxa"/>
            <w:tcBorders>
              <w:right w:val="single" w:sz="4" w:space="0" w:color="808080"/>
            </w:tcBorders>
            <w:vAlign w:val="bottom"/>
          </w:tcPr>
          <w:p w:rsidR="004D17D6" w:rsidRPr="00057E85" w:rsidRDefault="004D17D6" w:rsidP="00A96FC9">
            <w:pPr>
              <w:rPr>
                <w:sz w:val="20"/>
              </w:rPr>
            </w:pPr>
            <w:r w:rsidRPr="00057E85">
              <w:rPr>
                <w:sz w:val="20"/>
              </w:rPr>
              <w:t>4m2 plus ancillary allowance of 10%</w:t>
            </w:r>
          </w:p>
        </w:tc>
      </w:tr>
      <w:tr w:rsidR="004D17D6" w:rsidRPr="00A96FC9" w:rsidTr="00057E85">
        <w:trPr>
          <w:cantSplit/>
        </w:trPr>
        <w:tc>
          <w:tcPr>
            <w:tcW w:w="6062" w:type="dxa"/>
            <w:tcBorders>
              <w:left w:val="single" w:sz="4" w:space="0" w:color="808080"/>
            </w:tcBorders>
          </w:tcPr>
          <w:p w:rsidR="004D17D6" w:rsidRPr="00057E85" w:rsidRDefault="004D17D6" w:rsidP="00A96FC9">
            <w:pPr>
              <w:rPr>
                <w:sz w:val="20"/>
              </w:rPr>
            </w:pPr>
            <w:r w:rsidRPr="00057E85">
              <w:rPr>
                <w:sz w:val="20"/>
              </w:rPr>
              <w:t>Laboratories</w:t>
            </w:r>
          </w:p>
        </w:tc>
        <w:tc>
          <w:tcPr>
            <w:tcW w:w="1743" w:type="dxa"/>
            <w:tcBorders>
              <w:right w:val="single" w:sz="4" w:space="0" w:color="808080"/>
            </w:tcBorders>
            <w:vAlign w:val="bottom"/>
          </w:tcPr>
          <w:p w:rsidR="004D17D6" w:rsidRPr="00057E85" w:rsidRDefault="004D17D6" w:rsidP="00A96FC9">
            <w:pPr>
              <w:rPr>
                <w:sz w:val="20"/>
              </w:rPr>
            </w:pPr>
            <w:r w:rsidRPr="00057E85">
              <w:rPr>
                <w:sz w:val="20"/>
              </w:rPr>
              <w:t>4m2 plus ancillary allowance of 10%</w:t>
            </w:r>
          </w:p>
        </w:tc>
      </w:tr>
      <w:tr w:rsidR="004D17D6" w:rsidRPr="00A96FC9" w:rsidTr="00057E85">
        <w:trPr>
          <w:cantSplit/>
        </w:trPr>
        <w:tc>
          <w:tcPr>
            <w:tcW w:w="6062" w:type="dxa"/>
            <w:tcBorders>
              <w:left w:val="single" w:sz="4" w:space="0" w:color="808080"/>
            </w:tcBorders>
          </w:tcPr>
          <w:p w:rsidR="004D17D6" w:rsidRPr="00057E85" w:rsidRDefault="004D17D6" w:rsidP="00D37F59">
            <w:pPr>
              <w:rPr>
                <w:sz w:val="20"/>
              </w:rPr>
            </w:pPr>
            <w:r w:rsidRPr="00057E85">
              <w:rPr>
                <w:sz w:val="20"/>
              </w:rPr>
              <w:t>Other</w:t>
            </w:r>
          </w:p>
        </w:tc>
        <w:tc>
          <w:tcPr>
            <w:tcW w:w="1743" w:type="dxa"/>
            <w:tcBorders>
              <w:right w:val="single" w:sz="4" w:space="0" w:color="808080"/>
            </w:tcBorders>
            <w:vAlign w:val="bottom"/>
          </w:tcPr>
          <w:p w:rsidR="004D17D6" w:rsidRPr="00057E85" w:rsidRDefault="004D17D6" w:rsidP="00D37F59">
            <w:pPr>
              <w:rPr>
                <w:sz w:val="20"/>
              </w:rPr>
            </w:pPr>
            <w:r w:rsidRPr="00057E85">
              <w:rPr>
                <w:sz w:val="20"/>
              </w:rPr>
              <w:t>As required</w:t>
            </w:r>
          </w:p>
        </w:tc>
      </w:tr>
      <w:tr w:rsidR="004D17D6" w:rsidRPr="00A96FC9" w:rsidTr="00057E85">
        <w:trPr>
          <w:cantSplit/>
        </w:trPr>
        <w:tc>
          <w:tcPr>
            <w:tcW w:w="6062" w:type="dxa"/>
            <w:tcBorders>
              <w:left w:val="single" w:sz="4" w:space="0" w:color="808080"/>
            </w:tcBorders>
          </w:tcPr>
          <w:p w:rsidR="004D17D6" w:rsidRPr="00057E85" w:rsidRDefault="004D17D6" w:rsidP="00A96FC9">
            <w:pPr>
              <w:rPr>
                <w:b/>
                <w:sz w:val="20"/>
              </w:rPr>
            </w:pPr>
            <w:r w:rsidRPr="00057E85">
              <w:rPr>
                <w:b/>
                <w:sz w:val="20"/>
              </w:rPr>
              <w:t>Office space standards for academic and support staff</w:t>
            </w:r>
          </w:p>
        </w:tc>
        <w:tc>
          <w:tcPr>
            <w:tcW w:w="1743" w:type="dxa"/>
            <w:tcBorders>
              <w:left w:val="nil"/>
              <w:right w:val="single" w:sz="4" w:space="0" w:color="808080"/>
            </w:tcBorders>
          </w:tcPr>
          <w:p w:rsidR="004D17D6" w:rsidRPr="00057E85" w:rsidRDefault="004D17D6" w:rsidP="00A96FC9">
            <w:pPr>
              <w:rPr>
                <w:b/>
                <w:sz w:val="20"/>
              </w:rPr>
            </w:pPr>
          </w:p>
        </w:tc>
      </w:tr>
      <w:tr w:rsidR="004D17D6" w:rsidRPr="00A96FC9" w:rsidTr="00057E85">
        <w:trPr>
          <w:cantSplit/>
        </w:trPr>
        <w:tc>
          <w:tcPr>
            <w:tcW w:w="6062" w:type="dxa"/>
            <w:tcBorders>
              <w:left w:val="single" w:sz="4" w:space="0" w:color="808080"/>
            </w:tcBorders>
          </w:tcPr>
          <w:p w:rsidR="004D17D6" w:rsidRPr="00057E85" w:rsidRDefault="004D17D6" w:rsidP="00A96FC9">
            <w:pPr>
              <w:rPr>
                <w:sz w:val="20"/>
              </w:rPr>
            </w:pPr>
            <w:r w:rsidRPr="00057E85">
              <w:rPr>
                <w:sz w:val="20"/>
              </w:rPr>
              <w:t>Large office with meeting space</w:t>
            </w:r>
          </w:p>
        </w:tc>
        <w:tc>
          <w:tcPr>
            <w:tcW w:w="1743" w:type="dxa"/>
            <w:tcBorders>
              <w:right w:val="single" w:sz="4" w:space="0" w:color="808080"/>
            </w:tcBorders>
            <w:vAlign w:val="center"/>
          </w:tcPr>
          <w:p w:rsidR="004D17D6" w:rsidRPr="00057E85" w:rsidRDefault="004D17D6" w:rsidP="00A96FC9">
            <w:pPr>
              <w:rPr>
                <w:sz w:val="20"/>
              </w:rPr>
            </w:pPr>
            <w:r w:rsidRPr="00057E85">
              <w:rPr>
                <w:sz w:val="20"/>
              </w:rPr>
              <w:t>15m2</w:t>
            </w:r>
          </w:p>
        </w:tc>
      </w:tr>
      <w:tr w:rsidR="004D17D6" w:rsidRPr="00A96FC9" w:rsidTr="00057E85">
        <w:trPr>
          <w:cantSplit/>
        </w:trPr>
        <w:tc>
          <w:tcPr>
            <w:tcW w:w="6062" w:type="dxa"/>
            <w:tcBorders>
              <w:left w:val="single" w:sz="4" w:space="0" w:color="808080"/>
            </w:tcBorders>
          </w:tcPr>
          <w:p w:rsidR="004D17D6" w:rsidRPr="00057E85" w:rsidRDefault="004D17D6" w:rsidP="00A96FC9">
            <w:pPr>
              <w:rPr>
                <w:sz w:val="20"/>
              </w:rPr>
            </w:pPr>
            <w:r w:rsidRPr="00057E85">
              <w:rPr>
                <w:sz w:val="20"/>
              </w:rPr>
              <w:t>Single office</w:t>
            </w:r>
          </w:p>
        </w:tc>
        <w:tc>
          <w:tcPr>
            <w:tcW w:w="1743" w:type="dxa"/>
            <w:tcBorders>
              <w:right w:val="single" w:sz="4" w:space="0" w:color="808080"/>
            </w:tcBorders>
            <w:vAlign w:val="bottom"/>
          </w:tcPr>
          <w:p w:rsidR="004D17D6" w:rsidRPr="00057E85" w:rsidRDefault="004D17D6" w:rsidP="00A96FC9">
            <w:pPr>
              <w:rPr>
                <w:sz w:val="20"/>
              </w:rPr>
            </w:pPr>
            <w:r w:rsidRPr="00057E85">
              <w:rPr>
                <w:sz w:val="20"/>
              </w:rPr>
              <w:t>9m2</w:t>
            </w:r>
          </w:p>
        </w:tc>
      </w:tr>
      <w:tr w:rsidR="004D17D6" w:rsidRPr="00A96FC9" w:rsidTr="00057E85">
        <w:trPr>
          <w:cantSplit/>
        </w:trPr>
        <w:tc>
          <w:tcPr>
            <w:tcW w:w="6062" w:type="dxa"/>
            <w:tcBorders>
              <w:left w:val="single" w:sz="4" w:space="0" w:color="808080"/>
            </w:tcBorders>
          </w:tcPr>
          <w:p w:rsidR="004D17D6" w:rsidRPr="00057E85" w:rsidRDefault="004D17D6" w:rsidP="00A96FC9">
            <w:pPr>
              <w:rPr>
                <w:sz w:val="20"/>
              </w:rPr>
            </w:pPr>
            <w:r w:rsidRPr="00057E85">
              <w:rPr>
                <w:sz w:val="20"/>
              </w:rPr>
              <w:t>Shared offices (per person)</w:t>
            </w:r>
          </w:p>
        </w:tc>
        <w:tc>
          <w:tcPr>
            <w:tcW w:w="1743" w:type="dxa"/>
            <w:tcBorders>
              <w:right w:val="single" w:sz="4" w:space="0" w:color="808080"/>
            </w:tcBorders>
            <w:vAlign w:val="bottom"/>
          </w:tcPr>
          <w:p w:rsidR="004D17D6" w:rsidRPr="00057E85" w:rsidRDefault="004D17D6" w:rsidP="00D37F59">
            <w:pPr>
              <w:rPr>
                <w:sz w:val="20"/>
              </w:rPr>
            </w:pPr>
            <w:r w:rsidRPr="00057E85">
              <w:rPr>
                <w:sz w:val="20"/>
              </w:rPr>
              <w:t>7.5m2</w:t>
            </w:r>
          </w:p>
        </w:tc>
      </w:tr>
      <w:tr w:rsidR="004D17D6" w:rsidRPr="00A96FC9" w:rsidTr="00057E85">
        <w:trPr>
          <w:cantSplit/>
        </w:trPr>
        <w:tc>
          <w:tcPr>
            <w:tcW w:w="6062" w:type="dxa"/>
            <w:tcBorders>
              <w:left w:val="single" w:sz="4" w:space="0" w:color="808080"/>
            </w:tcBorders>
          </w:tcPr>
          <w:p w:rsidR="004D17D6" w:rsidRPr="00057E85" w:rsidRDefault="004D17D6" w:rsidP="00A96FC9">
            <w:pPr>
              <w:rPr>
                <w:sz w:val="20"/>
              </w:rPr>
            </w:pPr>
            <w:r w:rsidRPr="00057E85">
              <w:rPr>
                <w:sz w:val="20"/>
              </w:rPr>
              <w:t>Shared workplaces &lt;0.5-0.2 FTE (share ratio of 2:1)</w:t>
            </w:r>
          </w:p>
        </w:tc>
        <w:tc>
          <w:tcPr>
            <w:tcW w:w="1743" w:type="dxa"/>
            <w:tcBorders>
              <w:right w:val="single" w:sz="4" w:space="0" w:color="808080"/>
            </w:tcBorders>
            <w:vAlign w:val="bottom"/>
          </w:tcPr>
          <w:p w:rsidR="004D17D6" w:rsidRPr="00057E85" w:rsidRDefault="004D17D6" w:rsidP="00D37F59">
            <w:pPr>
              <w:rPr>
                <w:sz w:val="20"/>
              </w:rPr>
            </w:pPr>
            <w:r w:rsidRPr="00057E85">
              <w:rPr>
                <w:sz w:val="20"/>
              </w:rPr>
              <w:t>7.5m2</w:t>
            </w:r>
          </w:p>
        </w:tc>
      </w:tr>
      <w:tr w:rsidR="004D17D6" w:rsidRPr="00A96FC9" w:rsidTr="00057E85">
        <w:trPr>
          <w:cantSplit/>
        </w:trPr>
        <w:tc>
          <w:tcPr>
            <w:tcW w:w="6062" w:type="dxa"/>
            <w:tcBorders>
              <w:left w:val="single" w:sz="4" w:space="0" w:color="808080"/>
            </w:tcBorders>
          </w:tcPr>
          <w:p w:rsidR="004D17D6" w:rsidRPr="00057E85" w:rsidRDefault="004D17D6" w:rsidP="00A96FC9">
            <w:pPr>
              <w:rPr>
                <w:sz w:val="20"/>
              </w:rPr>
            </w:pPr>
            <w:r w:rsidRPr="00057E85">
              <w:rPr>
                <w:sz w:val="20"/>
              </w:rPr>
              <w:t>Shared workplaces &lt;0.2 FTE (share ratio of 5:1)</w:t>
            </w:r>
          </w:p>
        </w:tc>
        <w:tc>
          <w:tcPr>
            <w:tcW w:w="1743" w:type="dxa"/>
            <w:tcBorders>
              <w:right w:val="single" w:sz="4" w:space="0" w:color="808080"/>
            </w:tcBorders>
            <w:vAlign w:val="bottom"/>
          </w:tcPr>
          <w:p w:rsidR="004D17D6" w:rsidRPr="00057E85" w:rsidRDefault="004D17D6" w:rsidP="00A96FC9">
            <w:pPr>
              <w:rPr>
                <w:sz w:val="20"/>
              </w:rPr>
            </w:pPr>
            <w:r w:rsidRPr="00057E85">
              <w:rPr>
                <w:sz w:val="20"/>
              </w:rPr>
              <w:t>7.5m2</w:t>
            </w:r>
          </w:p>
        </w:tc>
      </w:tr>
      <w:tr w:rsidR="004D17D6" w:rsidRPr="00A96FC9" w:rsidTr="00057E85">
        <w:trPr>
          <w:cantSplit/>
        </w:trPr>
        <w:tc>
          <w:tcPr>
            <w:tcW w:w="6062" w:type="dxa"/>
            <w:tcBorders>
              <w:left w:val="single" w:sz="4" w:space="0" w:color="808080"/>
            </w:tcBorders>
          </w:tcPr>
          <w:p w:rsidR="004D17D6" w:rsidRPr="00057E85" w:rsidRDefault="004D17D6" w:rsidP="00A96FC9">
            <w:pPr>
              <w:rPr>
                <w:sz w:val="20"/>
              </w:rPr>
            </w:pPr>
            <w:r w:rsidRPr="00057E85">
              <w:rPr>
                <w:sz w:val="20"/>
              </w:rPr>
              <w:t>Meeting rooms</w:t>
            </w:r>
          </w:p>
        </w:tc>
        <w:tc>
          <w:tcPr>
            <w:tcW w:w="1743" w:type="dxa"/>
            <w:tcBorders>
              <w:right w:val="single" w:sz="4" w:space="0" w:color="808080"/>
            </w:tcBorders>
            <w:vAlign w:val="bottom"/>
          </w:tcPr>
          <w:p w:rsidR="004D17D6" w:rsidRPr="00057E85" w:rsidRDefault="004D17D6" w:rsidP="00A96FC9">
            <w:pPr>
              <w:rPr>
                <w:sz w:val="20"/>
              </w:rPr>
            </w:pPr>
            <w:r w:rsidRPr="00057E85">
              <w:rPr>
                <w:sz w:val="20"/>
              </w:rPr>
              <w:t xml:space="preserve">2m2 </w:t>
            </w:r>
          </w:p>
        </w:tc>
      </w:tr>
      <w:tr w:rsidR="004D17D6" w:rsidRPr="00A96FC9" w:rsidTr="00057E85">
        <w:trPr>
          <w:cantSplit/>
        </w:trPr>
        <w:tc>
          <w:tcPr>
            <w:tcW w:w="6062" w:type="dxa"/>
            <w:tcBorders>
              <w:left w:val="single" w:sz="4" w:space="0" w:color="808080"/>
            </w:tcBorders>
          </w:tcPr>
          <w:p w:rsidR="004D17D6" w:rsidRPr="00057E85" w:rsidRDefault="004D17D6" w:rsidP="00A96FC9">
            <w:pPr>
              <w:rPr>
                <w:b/>
                <w:color w:val="000000"/>
                <w:sz w:val="20"/>
                <w:lang w:eastAsia="en-GB"/>
              </w:rPr>
            </w:pPr>
            <w:r w:rsidRPr="00057E85">
              <w:rPr>
                <w:b/>
                <w:sz w:val="20"/>
              </w:rPr>
              <w:t xml:space="preserve">Research </w:t>
            </w:r>
          </w:p>
        </w:tc>
        <w:tc>
          <w:tcPr>
            <w:tcW w:w="1743" w:type="dxa"/>
            <w:tcBorders>
              <w:left w:val="nil"/>
              <w:right w:val="single" w:sz="4" w:space="0" w:color="808080"/>
            </w:tcBorders>
          </w:tcPr>
          <w:p w:rsidR="004D17D6" w:rsidRPr="00057E85" w:rsidRDefault="004D17D6" w:rsidP="00A96FC9">
            <w:pPr>
              <w:rPr>
                <w:b/>
                <w:color w:val="000000"/>
                <w:sz w:val="20"/>
                <w:lang w:eastAsia="en-GB"/>
              </w:rPr>
            </w:pPr>
          </w:p>
        </w:tc>
      </w:tr>
      <w:tr w:rsidR="004D17D6" w:rsidRPr="00A96FC9" w:rsidTr="00057E85">
        <w:trPr>
          <w:cantSplit/>
        </w:trPr>
        <w:tc>
          <w:tcPr>
            <w:tcW w:w="6062" w:type="dxa"/>
            <w:tcBorders>
              <w:left w:val="single" w:sz="4" w:space="0" w:color="808080"/>
            </w:tcBorders>
          </w:tcPr>
          <w:p w:rsidR="004D17D6" w:rsidRPr="00057E85" w:rsidRDefault="004D17D6" w:rsidP="00A96FC9">
            <w:pPr>
              <w:rPr>
                <w:sz w:val="20"/>
              </w:rPr>
            </w:pPr>
            <w:r w:rsidRPr="00057E85">
              <w:rPr>
                <w:sz w:val="20"/>
              </w:rPr>
              <w:t>Research student workplace for full time</w:t>
            </w:r>
          </w:p>
        </w:tc>
        <w:tc>
          <w:tcPr>
            <w:tcW w:w="1743" w:type="dxa"/>
            <w:tcBorders>
              <w:right w:val="single" w:sz="4" w:space="0" w:color="808080"/>
            </w:tcBorders>
            <w:vAlign w:val="bottom"/>
          </w:tcPr>
          <w:p w:rsidR="004D17D6" w:rsidRPr="00057E85" w:rsidRDefault="004D17D6" w:rsidP="00A96FC9">
            <w:pPr>
              <w:rPr>
                <w:sz w:val="20"/>
              </w:rPr>
            </w:pPr>
            <w:r w:rsidRPr="00057E85">
              <w:rPr>
                <w:sz w:val="20"/>
              </w:rPr>
              <w:t>4.5m2</w:t>
            </w:r>
          </w:p>
        </w:tc>
      </w:tr>
      <w:tr w:rsidR="004D17D6" w:rsidRPr="00A96FC9" w:rsidTr="00057E85">
        <w:trPr>
          <w:cantSplit/>
        </w:trPr>
        <w:tc>
          <w:tcPr>
            <w:tcW w:w="6062" w:type="dxa"/>
            <w:tcBorders>
              <w:left w:val="single" w:sz="4" w:space="0" w:color="808080"/>
            </w:tcBorders>
          </w:tcPr>
          <w:p w:rsidR="004D17D6" w:rsidRPr="00057E85" w:rsidRDefault="004D17D6" w:rsidP="00A96FC9">
            <w:pPr>
              <w:rPr>
                <w:sz w:val="20"/>
              </w:rPr>
            </w:pPr>
            <w:r w:rsidRPr="00057E85">
              <w:rPr>
                <w:sz w:val="20"/>
              </w:rPr>
              <w:t>Research student workplace for part time (share ratio of 2:1)</w:t>
            </w:r>
          </w:p>
        </w:tc>
        <w:tc>
          <w:tcPr>
            <w:tcW w:w="1743" w:type="dxa"/>
            <w:tcBorders>
              <w:right w:val="single" w:sz="4" w:space="0" w:color="808080"/>
            </w:tcBorders>
            <w:vAlign w:val="bottom"/>
          </w:tcPr>
          <w:p w:rsidR="004D17D6" w:rsidRPr="00057E85" w:rsidRDefault="004D17D6" w:rsidP="00A96FC9">
            <w:pPr>
              <w:rPr>
                <w:sz w:val="20"/>
              </w:rPr>
            </w:pPr>
            <w:r w:rsidRPr="00057E85">
              <w:rPr>
                <w:sz w:val="20"/>
              </w:rPr>
              <w:t>4.5m2</w:t>
            </w:r>
          </w:p>
        </w:tc>
      </w:tr>
      <w:tr w:rsidR="004D17D6" w:rsidRPr="00A96FC9" w:rsidTr="00057E85">
        <w:trPr>
          <w:cantSplit/>
        </w:trPr>
        <w:tc>
          <w:tcPr>
            <w:tcW w:w="6062" w:type="dxa"/>
            <w:tcBorders>
              <w:left w:val="single" w:sz="4" w:space="0" w:color="808080"/>
            </w:tcBorders>
          </w:tcPr>
          <w:p w:rsidR="004D17D6" w:rsidRPr="00057E85" w:rsidRDefault="004D17D6" w:rsidP="00EA37BE">
            <w:pPr>
              <w:rPr>
                <w:sz w:val="20"/>
              </w:rPr>
            </w:pPr>
          </w:p>
        </w:tc>
        <w:tc>
          <w:tcPr>
            <w:tcW w:w="1743" w:type="dxa"/>
            <w:tcBorders>
              <w:right w:val="single" w:sz="4" w:space="0" w:color="808080"/>
            </w:tcBorders>
            <w:vAlign w:val="bottom"/>
          </w:tcPr>
          <w:p w:rsidR="004D17D6" w:rsidRPr="00057E85" w:rsidRDefault="004D17D6" w:rsidP="00A96FC9">
            <w:pPr>
              <w:rPr>
                <w:sz w:val="20"/>
              </w:rPr>
            </w:pPr>
          </w:p>
        </w:tc>
      </w:tr>
      <w:tr w:rsidR="004D17D6" w:rsidRPr="00A96FC9" w:rsidTr="00057E85">
        <w:trPr>
          <w:cantSplit/>
        </w:trPr>
        <w:tc>
          <w:tcPr>
            <w:tcW w:w="6062" w:type="dxa"/>
            <w:tcBorders>
              <w:left w:val="single" w:sz="4" w:space="0" w:color="808080"/>
            </w:tcBorders>
          </w:tcPr>
          <w:p w:rsidR="004D17D6" w:rsidRPr="00057E85" w:rsidRDefault="004D17D6" w:rsidP="00EA37BE">
            <w:pPr>
              <w:rPr>
                <w:sz w:val="20"/>
              </w:rPr>
            </w:pPr>
            <w:r>
              <w:rPr>
                <w:sz w:val="20"/>
              </w:rPr>
              <w:t>Specialist r</w:t>
            </w:r>
            <w:r w:rsidRPr="00057E85">
              <w:rPr>
                <w:sz w:val="20"/>
              </w:rPr>
              <w:t>esearch area per academic member of staff engaged in research where specialist facilities are needed e.g. Engineering and Science</w:t>
            </w:r>
          </w:p>
        </w:tc>
        <w:tc>
          <w:tcPr>
            <w:tcW w:w="1743" w:type="dxa"/>
            <w:tcBorders>
              <w:right w:val="single" w:sz="4" w:space="0" w:color="808080"/>
            </w:tcBorders>
            <w:vAlign w:val="bottom"/>
          </w:tcPr>
          <w:p w:rsidR="004D17D6" w:rsidRPr="00057E85" w:rsidRDefault="004D17D6" w:rsidP="00A96FC9">
            <w:pPr>
              <w:rPr>
                <w:sz w:val="20"/>
              </w:rPr>
            </w:pPr>
            <w:r w:rsidRPr="00057E85">
              <w:rPr>
                <w:sz w:val="20"/>
              </w:rPr>
              <w:t>15m2</w:t>
            </w:r>
          </w:p>
        </w:tc>
      </w:tr>
      <w:tr w:rsidR="004D17D6" w:rsidRPr="00A96FC9" w:rsidTr="00057E85">
        <w:trPr>
          <w:cantSplit/>
        </w:trPr>
        <w:tc>
          <w:tcPr>
            <w:tcW w:w="6062" w:type="dxa"/>
            <w:tcBorders>
              <w:left w:val="single" w:sz="4" w:space="0" w:color="808080"/>
            </w:tcBorders>
          </w:tcPr>
          <w:p w:rsidR="004D17D6" w:rsidRDefault="004D17D6" w:rsidP="00EA37BE">
            <w:pPr>
              <w:rPr>
                <w:sz w:val="20"/>
              </w:rPr>
            </w:pPr>
            <w:r>
              <w:rPr>
                <w:sz w:val="20"/>
              </w:rPr>
              <w:t>Specialist r</w:t>
            </w:r>
            <w:r w:rsidRPr="00057E85">
              <w:rPr>
                <w:sz w:val="20"/>
              </w:rPr>
              <w:t>esearch area per research student where specialist facilities are needed e.g. Engineering and Science</w:t>
            </w:r>
            <w:r>
              <w:rPr>
                <w:sz w:val="20"/>
              </w:rPr>
              <w:t xml:space="preserve"> (please note the need to avoid double counting with the row above)</w:t>
            </w:r>
          </w:p>
        </w:tc>
        <w:tc>
          <w:tcPr>
            <w:tcW w:w="1743" w:type="dxa"/>
            <w:tcBorders>
              <w:right w:val="single" w:sz="4" w:space="0" w:color="808080"/>
            </w:tcBorders>
            <w:vAlign w:val="bottom"/>
          </w:tcPr>
          <w:p w:rsidR="004D17D6" w:rsidRPr="00057E85" w:rsidRDefault="004D17D6" w:rsidP="00A96FC9">
            <w:pPr>
              <w:rPr>
                <w:sz w:val="20"/>
              </w:rPr>
            </w:pPr>
            <w:r w:rsidRPr="00057E85">
              <w:rPr>
                <w:sz w:val="20"/>
              </w:rPr>
              <w:t>say 5m2</w:t>
            </w:r>
          </w:p>
        </w:tc>
      </w:tr>
      <w:tr w:rsidR="004D17D6" w:rsidRPr="00A96FC9" w:rsidTr="00057E85">
        <w:trPr>
          <w:cantSplit/>
        </w:trPr>
        <w:tc>
          <w:tcPr>
            <w:tcW w:w="6062" w:type="dxa"/>
            <w:tcBorders>
              <w:left w:val="single" w:sz="4" w:space="0" w:color="808080"/>
            </w:tcBorders>
          </w:tcPr>
          <w:p w:rsidR="004D17D6" w:rsidRPr="00057E85" w:rsidRDefault="004D17D6" w:rsidP="00A96FC9">
            <w:pPr>
              <w:rPr>
                <w:b/>
                <w:color w:val="000000"/>
                <w:sz w:val="20"/>
                <w:lang w:eastAsia="en-GB"/>
              </w:rPr>
            </w:pPr>
            <w:r w:rsidRPr="00057E85">
              <w:rPr>
                <w:b/>
                <w:sz w:val="20"/>
              </w:rPr>
              <w:t xml:space="preserve">Other </w:t>
            </w:r>
          </w:p>
        </w:tc>
        <w:tc>
          <w:tcPr>
            <w:tcW w:w="1743" w:type="dxa"/>
            <w:tcBorders>
              <w:left w:val="nil"/>
              <w:right w:val="single" w:sz="4" w:space="0" w:color="808080"/>
            </w:tcBorders>
          </w:tcPr>
          <w:p w:rsidR="004D17D6" w:rsidRPr="00057E85" w:rsidRDefault="004D17D6" w:rsidP="00A96FC9">
            <w:pPr>
              <w:rPr>
                <w:b/>
                <w:color w:val="000000"/>
                <w:sz w:val="20"/>
                <w:lang w:eastAsia="en-GB"/>
              </w:rPr>
            </w:pPr>
          </w:p>
        </w:tc>
      </w:tr>
      <w:tr w:rsidR="004D17D6" w:rsidRPr="00A96FC9" w:rsidTr="00057E85">
        <w:trPr>
          <w:cantSplit/>
        </w:trPr>
        <w:tc>
          <w:tcPr>
            <w:tcW w:w="6062" w:type="dxa"/>
            <w:tcBorders>
              <w:left w:val="single" w:sz="4" w:space="0" w:color="808080"/>
            </w:tcBorders>
          </w:tcPr>
          <w:p w:rsidR="004D17D6" w:rsidRPr="00057E85" w:rsidRDefault="004D17D6" w:rsidP="00A96FC9">
            <w:pPr>
              <w:rPr>
                <w:sz w:val="20"/>
              </w:rPr>
            </w:pPr>
            <w:r w:rsidRPr="00057E85">
              <w:rPr>
                <w:sz w:val="20"/>
              </w:rPr>
              <w:t>Meeting rooms (per person)</w:t>
            </w:r>
          </w:p>
        </w:tc>
        <w:tc>
          <w:tcPr>
            <w:tcW w:w="1743" w:type="dxa"/>
            <w:tcBorders>
              <w:right w:val="single" w:sz="4" w:space="0" w:color="808080"/>
            </w:tcBorders>
            <w:vAlign w:val="bottom"/>
          </w:tcPr>
          <w:p w:rsidR="004D17D6" w:rsidRPr="00057E85" w:rsidRDefault="004D17D6" w:rsidP="00A96FC9">
            <w:pPr>
              <w:rPr>
                <w:sz w:val="20"/>
              </w:rPr>
            </w:pPr>
            <w:r w:rsidRPr="00057E85">
              <w:rPr>
                <w:sz w:val="20"/>
              </w:rPr>
              <w:t xml:space="preserve">2.5m2 </w:t>
            </w:r>
          </w:p>
        </w:tc>
      </w:tr>
      <w:tr w:rsidR="004D17D6" w:rsidRPr="00A96FC9" w:rsidTr="00057E85">
        <w:trPr>
          <w:cantSplit/>
        </w:trPr>
        <w:tc>
          <w:tcPr>
            <w:tcW w:w="6062" w:type="dxa"/>
            <w:tcBorders>
              <w:left w:val="single" w:sz="4" w:space="0" w:color="808080"/>
            </w:tcBorders>
          </w:tcPr>
          <w:p w:rsidR="004D17D6" w:rsidRPr="00057E85" w:rsidRDefault="004D17D6" w:rsidP="00A96FC9">
            <w:pPr>
              <w:rPr>
                <w:sz w:val="20"/>
              </w:rPr>
            </w:pPr>
            <w:r w:rsidRPr="00057E85">
              <w:rPr>
                <w:sz w:val="20"/>
              </w:rPr>
              <w:t>Interview rooms</w:t>
            </w:r>
            <w:r>
              <w:rPr>
                <w:sz w:val="20"/>
              </w:rPr>
              <w:t xml:space="preserve"> (1 room </w:t>
            </w:r>
            <w:r w:rsidRPr="00057E85">
              <w:rPr>
                <w:sz w:val="20"/>
              </w:rPr>
              <w:t>per 6 members of academic staff</w:t>
            </w:r>
            <w:r>
              <w:rPr>
                <w:sz w:val="20"/>
              </w:rPr>
              <w:t>)</w:t>
            </w:r>
          </w:p>
        </w:tc>
        <w:tc>
          <w:tcPr>
            <w:tcW w:w="1743" w:type="dxa"/>
            <w:tcBorders>
              <w:right w:val="single" w:sz="4" w:space="0" w:color="808080"/>
            </w:tcBorders>
          </w:tcPr>
          <w:p w:rsidR="004D17D6" w:rsidRPr="00057E85" w:rsidRDefault="004D17D6" w:rsidP="00057E85">
            <w:pPr>
              <w:rPr>
                <w:sz w:val="20"/>
              </w:rPr>
            </w:pPr>
            <w:r w:rsidRPr="00057E85">
              <w:rPr>
                <w:sz w:val="20"/>
              </w:rPr>
              <w:t>2.5m2 per place</w:t>
            </w:r>
          </w:p>
        </w:tc>
      </w:tr>
      <w:tr w:rsidR="004D17D6" w:rsidRPr="00A96FC9" w:rsidTr="00057E85">
        <w:trPr>
          <w:cantSplit/>
        </w:trPr>
        <w:tc>
          <w:tcPr>
            <w:tcW w:w="6062" w:type="dxa"/>
            <w:tcBorders>
              <w:left w:val="single" w:sz="4" w:space="0" w:color="808080"/>
            </w:tcBorders>
          </w:tcPr>
          <w:p w:rsidR="004D17D6" w:rsidRPr="00057E85" w:rsidRDefault="004D17D6" w:rsidP="00A96FC9">
            <w:pPr>
              <w:rPr>
                <w:sz w:val="20"/>
              </w:rPr>
            </w:pPr>
            <w:r w:rsidRPr="00057E85">
              <w:rPr>
                <w:sz w:val="20"/>
              </w:rPr>
              <w:t>Resource rooms and social learning space</w:t>
            </w:r>
          </w:p>
        </w:tc>
        <w:tc>
          <w:tcPr>
            <w:tcW w:w="1743" w:type="dxa"/>
            <w:tcBorders>
              <w:right w:val="single" w:sz="4" w:space="0" w:color="808080"/>
            </w:tcBorders>
          </w:tcPr>
          <w:p w:rsidR="004D17D6" w:rsidRPr="00057E85" w:rsidRDefault="004D17D6" w:rsidP="00A96FC9">
            <w:pPr>
              <w:rPr>
                <w:sz w:val="20"/>
              </w:rPr>
            </w:pPr>
            <w:r w:rsidRPr="00057E85">
              <w:rPr>
                <w:sz w:val="20"/>
              </w:rPr>
              <w:t>HEIs to include if appropriate</w:t>
            </w:r>
          </w:p>
        </w:tc>
      </w:tr>
      <w:tr w:rsidR="004D17D6" w:rsidRPr="00A96FC9" w:rsidTr="00057E85">
        <w:trPr>
          <w:cantSplit/>
        </w:trPr>
        <w:tc>
          <w:tcPr>
            <w:tcW w:w="6062" w:type="dxa"/>
            <w:tcBorders>
              <w:left w:val="single" w:sz="4" w:space="0" w:color="808080"/>
            </w:tcBorders>
          </w:tcPr>
          <w:p w:rsidR="004D17D6" w:rsidRPr="00057E85" w:rsidRDefault="004D17D6" w:rsidP="00D37F59">
            <w:pPr>
              <w:rPr>
                <w:i/>
                <w:color w:val="000000"/>
                <w:sz w:val="20"/>
                <w:lang w:eastAsia="en-GB"/>
              </w:rPr>
            </w:pPr>
            <w:r w:rsidRPr="00057E85">
              <w:rPr>
                <w:i/>
                <w:sz w:val="20"/>
              </w:rPr>
              <w:t>Note: There is scope to include other types of space which may be required but for which there is no standardised level of provision (equivalent to the former equipment dominated space in the UGC norms)</w:t>
            </w:r>
          </w:p>
        </w:tc>
        <w:tc>
          <w:tcPr>
            <w:tcW w:w="1743" w:type="dxa"/>
            <w:tcBorders>
              <w:left w:val="nil"/>
              <w:right w:val="single" w:sz="4" w:space="0" w:color="808080"/>
            </w:tcBorders>
          </w:tcPr>
          <w:p w:rsidR="004D17D6" w:rsidRPr="00057E85" w:rsidRDefault="004D17D6" w:rsidP="00D37F59">
            <w:pPr>
              <w:rPr>
                <w:i/>
                <w:color w:val="000000"/>
                <w:sz w:val="20"/>
                <w:lang w:eastAsia="en-GB"/>
              </w:rPr>
            </w:pPr>
          </w:p>
        </w:tc>
      </w:tr>
      <w:tr w:rsidR="004D17D6" w:rsidRPr="00A96FC9" w:rsidTr="00057E85">
        <w:trPr>
          <w:cantSplit/>
        </w:trPr>
        <w:tc>
          <w:tcPr>
            <w:tcW w:w="6062" w:type="dxa"/>
            <w:tcBorders>
              <w:left w:val="single" w:sz="4" w:space="0" w:color="808080"/>
            </w:tcBorders>
          </w:tcPr>
          <w:p w:rsidR="004D17D6" w:rsidRPr="00057E85" w:rsidRDefault="004D17D6" w:rsidP="00A96FC9">
            <w:pPr>
              <w:rPr>
                <w:b/>
                <w:color w:val="000000"/>
                <w:sz w:val="20"/>
                <w:lang w:eastAsia="en-GB"/>
              </w:rPr>
            </w:pPr>
            <w:r w:rsidRPr="00057E85">
              <w:rPr>
                <w:b/>
                <w:sz w:val="20"/>
              </w:rPr>
              <w:t>Office ancillary</w:t>
            </w:r>
          </w:p>
        </w:tc>
        <w:tc>
          <w:tcPr>
            <w:tcW w:w="1743" w:type="dxa"/>
            <w:tcBorders>
              <w:left w:val="nil"/>
              <w:right w:val="single" w:sz="4" w:space="0" w:color="808080"/>
            </w:tcBorders>
          </w:tcPr>
          <w:p w:rsidR="004D17D6" w:rsidRPr="00057E85" w:rsidRDefault="004D17D6" w:rsidP="00A96FC9">
            <w:pPr>
              <w:rPr>
                <w:b/>
                <w:color w:val="000000"/>
                <w:sz w:val="20"/>
                <w:lang w:eastAsia="en-GB"/>
              </w:rPr>
            </w:pPr>
          </w:p>
        </w:tc>
      </w:tr>
      <w:tr w:rsidR="004D17D6" w:rsidRPr="00A96FC9" w:rsidTr="00057E85">
        <w:trPr>
          <w:cantSplit/>
        </w:trPr>
        <w:tc>
          <w:tcPr>
            <w:tcW w:w="6062" w:type="dxa"/>
            <w:tcBorders>
              <w:left w:val="single" w:sz="4" w:space="0" w:color="808080"/>
              <w:bottom w:val="single" w:sz="4" w:space="0" w:color="808080"/>
            </w:tcBorders>
          </w:tcPr>
          <w:p w:rsidR="004D17D6" w:rsidRPr="00057E85" w:rsidRDefault="004D17D6" w:rsidP="00A96FC9">
            <w:pPr>
              <w:rPr>
                <w:sz w:val="20"/>
              </w:rPr>
            </w:pPr>
            <w:r w:rsidRPr="00057E85">
              <w:rPr>
                <w:sz w:val="20"/>
              </w:rPr>
              <w:t>For example storage, copying and kitchens</w:t>
            </w:r>
          </w:p>
        </w:tc>
        <w:tc>
          <w:tcPr>
            <w:tcW w:w="1743" w:type="dxa"/>
            <w:tcBorders>
              <w:bottom w:val="single" w:sz="4" w:space="0" w:color="808080"/>
              <w:right w:val="single" w:sz="4" w:space="0" w:color="808080"/>
            </w:tcBorders>
            <w:vAlign w:val="bottom"/>
          </w:tcPr>
          <w:p w:rsidR="004D17D6" w:rsidRPr="00057E85" w:rsidRDefault="004D17D6" w:rsidP="00A96FC9">
            <w:pPr>
              <w:rPr>
                <w:sz w:val="20"/>
              </w:rPr>
            </w:pPr>
            <w:r w:rsidRPr="00057E85">
              <w:rPr>
                <w:sz w:val="20"/>
              </w:rPr>
              <w:t>HEIs to include as appropriate</w:t>
            </w:r>
          </w:p>
        </w:tc>
      </w:tr>
    </w:tbl>
    <w:p w:rsidR="004D17D6" w:rsidRPr="00004E60" w:rsidRDefault="004D17D6" w:rsidP="00A96FC9">
      <w:pPr>
        <w:pStyle w:val="NoteText"/>
      </w:pPr>
      <w:r w:rsidRPr="00004E60">
        <w:t xml:space="preserve">Note:  </w:t>
      </w:r>
      <w:r>
        <w:t>This is a l</w:t>
      </w:r>
      <w:r w:rsidRPr="008A7610">
        <w:t>ist of the main default factors and assumptions now incorporated in the SAM examples as a starting point for calculations - any of them can be changed</w:t>
      </w:r>
      <w:r>
        <w:t xml:space="preserve"> by the user</w:t>
      </w:r>
      <w:r w:rsidRPr="008A7610">
        <w:t>.</w:t>
      </w:r>
    </w:p>
    <w:p w:rsidR="004D17D6" w:rsidRDefault="004D17D6" w:rsidP="00A96FC9"/>
    <w:p w:rsidR="004D17D6" w:rsidRDefault="004D17D6" w:rsidP="00C538E0">
      <w:pPr>
        <w:pStyle w:val="Heading2"/>
      </w:pPr>
      <w:r w:rsidRPr="008A7610">
        <w:t>How HEIs can modify the examples</w:t>
      </w:r>
    </w:p>
    <w:p w:rsidR="004D17D6" w:rsidRDefault="004D17D6" w:rsidP="003F5017">
      <w:r w:rsidRPr="008A7610">
        <w:t>This step explains step by step how HEIs can use and modify any of the examples to suit their own practice or model future plans based on the column and row references in each of the spreadsheets in terms of:</w:t>
      </w:r>
    </w:p>
    <w:p w:rsidR="004D17D6" w:rsidRPr="008A7610" w:rsidRDefault="004D17D6" w:rsidP="0011393D">
      <w:pPr>
        <w:numPr>
          <w:ilvl w:val="0"/>
          <w:numId w:val="19"/>
        </w:numPr>
      </w:pPr>
      <w:r w:rsidRPr="008A7610">
        <w:t>C</w:t>
      </w:r>
      <w:r>
        <w:t>ore teaching and learning space</w:t>
      </w:r>
    </w:p>
    <w:p w:rsidR="004D17D6" w:rsidRPr="008A7610" w:rsidRDefault="004D17D6" w:rsidP="0011393D">
      <w:pPr>
        <w:numPr>
          <w:ilvl w:val="0"/>
          <w:numId w:val="19"/>
        </w:numPr>
      </w:pPr>
      <w:r>
        <w:t>Office space</w:t>
      </w:r>
    </w:p>
    <w:p w:rsidR="004D17D6" w:rsidRPr="008A7610" w:rsidRDefault="004D17D6" w:rsidP="0011393D">
      <w:pPr>
        <w:numPr>
          <w:ilvl w:val="0"/>
          <w:numId w:val="19"/>
        </w:numPr>
      </w:pPr>
      <w:r>
        <w:t>Research areas</w:t>
      </w:r>
    </w:p>
    <w:p w:rsidR="004D17D6" w:rsidRDefault="004D17D6" w:rsidP="0011393D">
      <w:pPr>
        <w:numPr>
          <w:ilvl w:val="0"/>
          <w:numId w:val="19"/>
        </w:numPr>
      </w:pPr>
      <w:r>
        <w:t>Other types of space</w:t>
      </w:r>
    </w:p>
    <w:p w:rsidR="004D17D6" w:rsidRDefault="004D17D6" w:rsidP="00D32EF2">
      <w:pPr>
        <w:pStyle w:val="Heading4"/>
      </w:pPr>
      <w:r>
        <w:t>C</w:t>
      </w:r>
      <w:r w:rsidRPr="008A7610">
        <w:t>ore teaching and learning space</w:t>
      </w:r>
    </w:p>
    <w:p w:rsidR="004D17D6" w:rsidRDefault="00047E09" w:rsidP="00D32EF2">
      <w:pPr>
        <w:keepNext/>
      </w:pPr>
      <w:r>
        <w:fldChar w:fldCharType="begin"/>
      </w:r>
      <w:r w:rsidR="004D17D6">
        <w:instrText xml:space="preserve"> REF _Ref254194054 \h </w:instrText>
      </w:r>
      <w:r>
        <w:fldChar w:fldCharType="separate"/>
      </w:r>
      <w:r w:rsidR="00340977" w:rsidRPr="0095577D">
        <w:t xml:space="preserve">Table </w:t>
      </w:r>
      <w:r w:rsidR="00340977">
        <w:rPr>
          <w:noProof/>
        </w:rPr>
        <w:t>2</w:t>
      </w:r>
      <w:r>
        <w:fldChar w:fldCharType="end"/>
      </w:r>
      <w:r w:rsidR="004D17D6" w:rsidRPr="008A7610">
        <w:t xml:space="preserve"> describes the approach to core teaching and learning space.</w:t>
      </w:r>
    </w:p>
    <w:p w:rsidR="004D17D6" w:rsidRDefault="004D17D6" w:rsidP="00D32EF2">
      <w:pPr>
        <w:keepNext/>
      </w:pPr>
    </w:p>
    <w:tbl>
      <w:tblPr>
        <w:tblW w:w="0" w:type="auto"/>
        <w:tblLayout w:type="fixed"/>
        <w:tblLook w:val="0000" w:firstRow="0" w:lastRow="0" w:firstColumn="0" w:lastColumn="0" w:noHBand="0" w:noVBand="0"/>
      </w:tblPr>
      <w:tblGrid>
        <w:gridCol w:w="1101"/>
        <w:gridCol w:w="1701"/>
        <w:gridCol w:w="5003"/>
      </w:tblGrid>
      <w:tr w:rsidR="004D17D6" w:rsidRPr="00E56C7E" w:rsidTr="00057E85">
        <w:trPr>
          <w:cantSplit/>
          <w:tblHeader/>
        </w:trPr>
        <w:tc>
          <w:tcPr>
            <w:tcW w:w="7805" w:type="dxa"/>
            <w:gridSpan w:val="3"/>
            <w:tcBorders>
              <w:top w:val="single" w:sz="4" w:space="0" w:color="808080"/>
              <w:left w:val="single" w:sz="4" w:space="0" w:color="808080"/>
              <w:bottom w:val="single" w:sz="4" w:space="0" w:color="808080"/>
              <w:right w:val="single" w:sz="4" w:space="0" w:color="808080"/>
            </w:tcBorders>
            <w:shd w:val="pct10" w:color="auto" w:fill="auto"/>
          </w:tcPr>
          <w:p w:rsidR="004D17D6" w:rsidRPr="0095577D" w:rsidRDefault="004D17D6" w:rsidP="00D32EF2">
            <w:pPr>
              <w:pStyle w:val="StyleCaptionCalibriBefore14ptAfter14pt"/>
              <w:keepNext/>
            </w:pPr>
            <w:bookmarkStart w:id="6" w:name="_Ref254194054"/>
            <w:r w:rsidRPr="0095577D">
              <w:t xml:space="preserve">Table </w:t>
            </w:r>
            <w:r w:rsidR="00B975BF">
              <w:fldChar w:fldCharType="begin"/>
            </w:r>
            <w:r w:rsidR="00B975BF">
              <w:instrText xml:space="preserve"> SEQ Table \* ARABIC </w:instrText>
            </w:r>
            <w:r w:rsidR="00B975BF">
              <w:fldChar w:fldCharType="separate"/>
            </w:r>
            <w:r w:rsidR="00340977">
              <w:rPr>
                <w:noProof/>
              </w:rPr>
              <w:t>2</w:t>
            </w:r>
            <w:r w:rsidR="00B975BF">
              <w:rPr>
                <w:noProof/>
              </w:rPr>
              <w:fldChar w:fldCharType="end"/>
            </w:r>
            <w:bookmarkEnd w:id="6"/>
            <w:r w:rsidRPr="0095577D">
              <w:t xml:space="preserve">: </w:t>
            </w:r>
            <w:r>
              <w:t>Core teaching and learning space inputs</w:t>
            </w:r>
          </w:p>
        </w:tc>
      </w:tr>
      <w:tr w:rsidR="004D17D6" w:rsidRPr="000F38FD" w:rsidTr="00057E85">
        <w:trPr>
          <w:cantSplit/>
          <w:tblHeader/>
        </w:trPr>
        <w:tc>
          <w:tcPr>
            <w:tcW w:w="1101" w:type="dxa"/>
            <w:tcBorders>
              <w:top w:val="single" w:sz="4" w:space="0" w:color="808080"/>
              <w:left w:val="single" w:sz="4" w:space="0" w:color="808080"/>
              <w:bottom w:val="single" w:sz="4" w:space="0" w:color="808080"/>
            </w:tcBorders>
            <w:vAlign w:val="bottom"/>
          </w:tcPr>
          <w:p w:rsidR="004D17D6" w:rsidRPr="000F38FD" w:rsidRDefault="004D17D6" w:rsidP="00D32EF2">
            <w:pPr>
              <w:keepNext/>
              <w:jc w:val="left"/>
              <w:rPr>
                <w:b/>
              </w:rPr>
            </w:pPr>
            <w:r>
              <w:rPr>
                <w:b/>
              </w:rPr>
              <w:t>Column</w:t>
            </w:r>
          </w:p>
        </w:tc>
        <w:tc>
          <w:tcPr>
            <w:tcW w:w="1701" w:type="dxa"/>
            <w:tcBorders>
              <w:top w:val="single" w:sz="4" w:space="0" w:color="808080"/>
              <w:bottom w:val="single" w:sz="4" w:space="0" w:color="808080"/>
            </w:tcBorders>
            <w:vAlign w:val="bottom"/>
          </w:tcPr>
          <w:p w:rsidR="004D17D6" w:rsidRPr="000F38FD" w:rsidRDefault="004D17D6" w:rsidP="00D32EF2">
            <w:pPr>
              <w:keepNext/>
              <w:jc w:val="left"/>
              <w:rPr>
                <w:b/>
              </w:rPr>
            </w:pPr>
            <w:r>
              <w:rPr>
                <w:b/>
              </w:rPr>
              <w:t>Heading</w:t>
            </w:r>
          </w:p>
        </w:tc>
        <w:tc>
          <w:tcPr>
            <w:tcW w:w="5003" w:type="dxa"/>
            <w:tcBorders>
              <w:top w:val="single" w:sz="4" w:space="0" w:color="808080"/>
              <w:bottom w:val="single" w:sz="4" w:space="0" w:color="808080"/>
              <w:right w:val="single" w:sz="4" w:space="0" w:color="808080"/>
            </w:tcBorders>
            <w:vAlign w:val="bottom"/>
          </w:tcPr>
          <w:p w:rsidR="004D17D6" w:rsidRPr="000F38FD" w:rsidRDefault="004D17D6" w:rsidP="00D32EF2">
            <w:pPr>
              <w:keepNext/>
              <w:jc w:val="left"/>
              <w:rPr>
                <w:b/>
              </w:rPr>
            </w:pPr>
            <w:r>
              <w:rPr>
                <w:b/>
              </w:rPr>
              <w:t>Comment</w:t>
            </w:r>
          </w:p>
        </w:tc>
      </w:tr>
      <w:tr w:rsidR="004D17D6" w:rsidRPr="000F38FD" w:rsidTr="00057E85">
        <w:trPr>
          <w:cantSplit/>
        </w:trPr>
        <w:tc>
          <w:tcPr>
            <w:tcW w:w="1101" w:type="dxa"/>
            <w:tcBorders>
              <w:top w:val="single" w:sz="4" w:space="0" w:color="808080"/>
              <w:left w:val="single" w:sz="4" w:space="0" w:color="808080"/>
            </w:tcBorders>
          </w:tcPr>
          <w:p w:rsidR="004D17D6" w:rsidRPr="00057E85" w:rsidRDefault="004D17D6" w:rsidP="001A086E">
            <w:pPr>
              <w:jc w:val="left"/>
              <w:rPr>
                <w:sz w:val="20"/>
              </w:rPr>
            </w:pPr>
            <w:r w:rsidRPr="00057E85">
              <w:rPr>
                <w:sz w:val="20"/>
              </w:rPr>
              <w:t>A</w:t>
            </w:r>
          </w:p>
        </w:tc>
        <w:tc>
          <w:tcPr>
            <w:tcW w:w="1701" w:type="dxa"/>
            <w:tcBorders>
              <w:top w:val="single" w:sz="4" w:space="0" w:color="808080"/>
            </w:tcBorders>
          </w:tcPr>
          <w:p w:rsidR="004D17D6" w:rsidRPr="00057E85" w:rsidRDefault="004D17D6" w:rsidP="001A086E">
            <w:pPr>
              <w:jc w:val="left"/>
              <w:rPr>
                <w:sz w:val="20"/>
              </w:rPr>
            </w:pPr>
            <w:r w:rsidRPr="00057E85">
              <w:rPr>
                <w:sz w:val="20"/>
              </w:rPr>
              <w:t>Types of space</w:t>
            </w:r>
          </w:p>
        </w:tc>
        <w:tc>
          <w:tcPr>
            <w:tcW w:w="5003" w:type="dxa"/>
            <w:tcBorders>
              <w:top w:val="single" w:sz="4" w:space="0" w:color="808080"/>
              <w:right w:val="single" w:sz="4" w:space="0" w:color="808080"/>
            </w:tcBorders>
          </w:tcPr>
          <w:p w:rsidR="004D17D6" w:rsidRPr="00057E85" w:rsidRDefault="004D17D6" w:rsidP="001A086E">
            <w:pPr>
              <w:jc w:val="left"/>
              <w:rPr>
                <w:sz w:val="20"/>
              </w:rPr>
            </w:pPr>
            <w:r w:rsidRPr="00057E85">
              <w:rPr>
                <w:sz w:val="20"/>
              </w:rPr>
              <w:t xml:space="preserve">This column lists types of space including teaching and learning space. </w:t>
            </w:r>
            <w:r>
              <w:rPr>
                <w:sz w:val="20"/>
              </w:rPr>
              <w:t xml:space="preserve"> HEIs</w:t>
            </w:r>
            <w:r w:rsidRPr="00057E85">
              <w:rPr>
                <w:sz w:val="20"/>
              </w:rPr>
              <w:t xml:space="preserve"> can change the space types or add in other types if </w:t>
            </w:r>
            <w:r>
              <w:rPr>
                <w:sz w:val="20"/>
              </w:rPr>
              <w:t>they</w:t>
            </w:r>
            <w:r w:rsidRPr="00057E85">
              <w:rPr>
                <w:sz w:val="20"/>
              </w:rPr>
              <w:t xml:space="preserve"> wish. The space is divided into centrally timetabled space and departmental space. This is for ease of comparison with HEIs’ own data.</w:t>
            </w:r>
          </w:p>
        </w:tc>
      </w:tr>
      <w:tr w:rsidR="004D17D6" w:rsidRPr="000F38FD" w:rsidTr="00057E85">
        <w:trPr>
          <w:cantSplit/>
        </w:trPr>
        <w:tc>
          <w:tcPr>
            <w:tcW w:w="1101" w:type="dxa"/>
            <w:tcBorders>
              <w:left w:val="single" w:sz="4" w:space="0" w:color="808080"/>
            </w:tcBorders>
          </w:tcPr>
          <w:p w:rsidR="004D17D6" w:rsidRPr="00057E85" w:rsidRDefault="004D17D6" w:rsidP="001A086E">
            <w:pPr>
              <w:jc w:val="left"/>
              <w:rPr>
                <w:sz w:val="20"/>
              </w:rPr>
            </w:pPr>
            <w:r w:rsidRPr="00057E85">
              <w:rPr>
                <w:sz w:val="20"/>
              </w:rPr>
              <w:t>B</w:t>
            </w:r>
          </w:p>
        </w:tc>
        <w:tc>
          <w:tcPr>
            <w:tcW w:w="1701" w:type="dxa"/>
          </w:tcPr>
          <w:p w:rsidR="004D17D6" w:rsidRPr="00057E85" w:rsidRDefault="004D17D6" w:rsidP="001A086E">
            <w:pPr>
              <w:jc w:val="left"/>
              <w:rPr>
                <w:sz w:val="20"/>
              </w:rPr>
            </w:pPr>
            <w:r w:rsidRPr="00057E85">
              <w:rPr>
                <w:sz w:val="20"/>
              </w:rPr>
              <w:t>Student numbers</w:t>
            </w:r>
          </w:p>
        </w:tc>
        <w:tc>
          <w:tcPr>
            <w:tcW w:w="5003" w:type="dxa"/>
            <w:tcBorders>
              <w:right w:val="single" w:sz="4" w:space="0" w:color="808080"/>
            </w:tcBorders>
          </w:tcPr>
          <w:p w:rsidR="004D17D6" w:rsidRPr="00057E85" w:rsidRDefault="004D17D6" w:rsidP="001A086E">
            <w:pPr>
              <w:jc w:val="left"/>
              <w:rPr>
                <w:sz w:val="20"/>
              </w:rPr>
            </w:pPr>
            <w:r w:rsidRPr="00057E85">
              <w:rPr>
                <w:sz w:val="20"/>
              </w:rPr>
              <w:t>Undergraduate and postgraduate student FTE numbers.</w:t>
            </w:r>
          </w:p>
        </w:tc>
      </w:tr>
      <w:tr w:rsidR="004D17D6" w:rsidRPr="000F38FD" w:rsidTr="00057E85">
        <w:trPr>
          <w:cantSplit/>
        </w:trPr>
        <w:tc>
          <w:tcPr>
            <w:tcW w:w="1101" w:type="dxa"/>
            <w:tcBorders>
              <w:left w:val="single" w:sz="4" w:space="0" w:color="808080"/>
            </w:tcBorders>
          </w:tcPr>
          <w:p w:rsidR="004D17D6" w:rsidRPr="00057E85" w:rsidRDefault="004D17D6" w:rsidP="001A086E">
            <w:pPr>
              <w:jc w:val="left"/>
              <w:rPr>
                <w:sz w:val="20"/>
              </w:rPr>
            </w:pPr>
            <w:r w:rsidRPr="00057E85">
              <w:rPr>
                <w:sz w:val="20"/>
              </w:rPr>
              <w:t>C</w:t>
            </w:r>
          </w:p>
        </w:tc>
        <w:tc>
          <w:tcPr>
            <w:tcW w:w="1701" w:type="dxa"/>
          </w:tcPr>
          <w:p w:rsidR="004D17D6" w:rsidRPr="00057E85" w:rsidRDefault="004D17D6" w:rsidP="001A086E">
            <w:pPr>
              <w:jc w:val="left"/>
              <w:rPr>
                <w:sz w:val="20"/>
              </w:rPr>
            </w:pPr>
            <w:r w:rsidRPr="00057E85">
              <w:rPr>
                <w:sz w:val="20"/>
              </w:rPr>
              <w:t>Average number of events per week.</w:t>
            </w:r>
          </w:p>
        </w:tc>
        <w:tc>
          <w:tcPr>
            <w:tcW w:w="5003" w:type="dxa"/>
            <w:tcBorders>
              <w:right w:val="single" w:sz="4" w:space="0" w:color="808080"/>
            </w:tcBorders>
          </w:tcPr>
          <w:p w:rsidR="004D17D6" w:rsidRPr="00057E85" w:rsidRDefault="004D17D6" w:rsidP="001A086E">
            <w:pPr>
              <w:jc w:val="left"/>
              <w:rPr>
                <w:sz w:val="20"/>
              </w:rPr>
            </w:pPr>
            <w:r w:rsidRPr="00057E85">
              <w:rPr>
                <w:sz w:val="20"/>
              </w:rPr>
              <w:t>This is the number of hours each student is likely to spend in different types of space.</w:t>
            </w:r>
          </w:p>
        </w:tc>
      </w:tr>
      <w:tr w:rsidR="004D17D6" w:rsidRPr="000F38FD" w:rsidTr="00057E85">
        <w:trPr>
          <w:cantSplit/>
        </w:trPr>
        <w:tc>
          <w:tcPr>
            <w:tcW w:w="1101" w:type="dxa"/>
            <w:tcBorders>
              <w:left w:val="single" w:sz="4" w:space="0" w:color="808080"/>
            </w:tcBorders>
          </w:tcPr>
          <w:p w:rsidR="004D17D6" w:rsidRPr="00057E85" w:rsidRDefault="004D17D6" w:rsidP="001A086E">
            <w:pPr>
              <w:jc w:val="left"/>
              <w:rPr>
                <w:sz w:val="20"/>
              </w:rPr>
            </w:pPr>
            <w:r w:rsidRPr="00057E85">
              <w:rPr>
                <w:sz w:val="20"/>
              </w:rPr>
              <w:t>D</w:t>
            </w:r>
          </w:p>
        </w:tc>
        <w:tc>
          <w:tcPr>
            <w:tcW w:w="1701" w:type="dxa"/>
          </w:tcPr>
          <w:p w:rsidR="004D17D6" w:rsidRPr="00057E85" w:rsidRDefault="004D17D6" w:rsidP="001A086E">
            <w:pPr>
              <w:jc w:val="left"/>
              <w:rPr>
                <w:sz w:val="20"/>
              </w:rPr>
            </w:pPr>
            <w:r w:rsidRPr="00057E85">
              <w:rPr>
                <w:sz w:val="20"/>
              </w:rPr>
              <w:t>Average number of total student event hours per week</w:t>
            </w:r>
          </w:p>
        </w:tc>
        <w:tc>
          <w:tcPr>
            <w:tcW w:w="5003" w:type="dxa"/>
            <w:tcBorders>
              <w:right w:val="single" w:sz="4" w:space="0" w:color="808080"/>
            </w:tcBorders>
          </w:tcPr>
          <w:p w:rsidR="004D17D6" w:rsidRPr="00057E85" w:rsidRDefault="004D17D6" w:rsidP="001A086E">
            <w:pPr>
              <w:jc w:val="left"/>
              <w:rPr>
                <w:sz w:val="20"/>
              </w:rPr>
            </w:pPr>
            <w:r w:rsidRPr="00057E85">
              <w:rPr>
                <w:sz w:val="20"/>
              </w:rPr>
              <w:t>This column generates the total student event hours per week by type of space.</w:t>
            </w:r>
          </w:p>
        </w:tc>
      </w:tr>
      <w:tr w:rsidR="004D17D6" w:rsidRPr="000F38FD" w:rsidTr="00057E85">
        <w:trPr>
          <w:cantSplit/>
        </w:trPr>
        <w:tc>
          <w:tcPr>
            <w:tcW w:w="1101" w:type="dxa"/>
            <w:tcBorders>
              <w:left w:val="single" w:sz="4" w:space="0" w:color="808080"/>
            </w:tcBorders>
          </w:tcPr>
          <w:p w:rsidR="004D17D6" w:rsidRPr="00057E85" w:rsidRDefault="004D17D6" w:rsidP="001A086E">
            <w:pPr>
              <w:jc w:val="left"/>
              <w:rPr>
                <w:sz w:val="20"/>
              </w:rPr>
            </w:pPr>
            <w:r w:rsidRPr="00057E85">
              <w:rPr>
                <w:sz w:val="20"/>
              </w:rPr>
              <w:t>E</w:t>
            </w:r>
          </w:p>
        </w:tc>
        <w:tc>
          <w:tcPr>
            <w:tcW w:w="1701" w:type="dxa"/>
          </w:tcPr>
          <w:p w:rsidR="004D17D6" w:rsidRPr="00057E85" w:rsidRDefault="004D17D6" w:rsidP="001A086E">
            <w:pPr>
              <w:jc w:val="left"/>
              <w:rPr>
                <w:sz w:val="20"/>
              </w:rPr>
            </w:pPr>
            <w:r w:rsidRPr="00057E85">
              <w:rPr>
                <w:sz w:val="20"/>
              </w:rPr>
              <w:t xml:space="preserve">Core week timetabled hours </w:t>
            </w:r>
          </w:p>
        </w:tc>
        <w:tc>
          <w:tcPr>
            <w:tcW w:w="5003" w:type="dxa"/>
            <w:tcBorders>
              <w:right w:val="single" w:sz="4" w:space="0" w:color="808080"/>
            </w:tcBorders>
          </w:tcPr>
          <w:p w:rsidR="004D17D6" w:rsidRPr="00057E85" w:rsidRDefault="004D17D6" w:rsidP="00EA37BE">
            <w:pPr>
              <w:jc w:val="left"/>
              <w:rPr>
                <w:sz w:val="20"/>
              </w:rPr>
            </w:pPr>
            <w:r w:rsidRPr="00057E85">
              <w:rPr>
                <w:sz w:val="20"/>
              </w:rPr>
              <w:t xml:space="preserve">This column enables </w:t>
            </w:r>
            <w:r>
              <w:rPr>
                <w:sz w:val="20"/>
              </w:rPr>
              <w:t xml:space="preserve">HEIs </w:t>
            </w:r>
            <w:r w:rsidRPr="00057E85">
              <w:rPr>
                <w:sz w:val="20"/>
              </w:rPr>
              <w:t xml:space="preserve">to see the effect of increasing or decreasing the length of the core daytime timetabled week. </w:t>
            </w:r>
            <w:r>
              <w:rPr>
                <w:sz w:val="20"/>
              </w:rPr>
              <w:t xml:space="preserve">HEIs </w:t>
            </w:r>
            <w:r w:rsidRPr="00057E85">
              <w:rPr>
                <w:sz w:val="20"/>
              </w:rPr>
              <w:t xml:space="preserve">can keep the default coefficient or replace it with </w:t>
            </w:r>
            <w:r>
              <w:rPr>
                <w:sz w:val="20"/>
              </w:rPr>
              <w:t>their</w:t>
            </w:r>
            <w:r w:rsidRPr="00057E85">
              <w:rPr>
                <w:sz w:val="20"/>
              </w:rPr>
              <w:t xml:space="preserve"> own current practice, or a higher or lower number of hours.</w:t>
            </w:r>
          </w:p>
        </w:tc>
      </w:tr>
      <w:tr w:rsidR="004D17D6" w:rsidRPr="000F38FD" w:rsidTr="00057E85">
        <w:trPr>
          <w:cantSplit/>
        </w:trPr>
        <w:tc>
          <w:tcPr>
            <w:tcW w:w="1101" w:type="dxa"/>
            <w:tcBorders>
              <w:left w:val="single" w:sz="4" w:space="0" w:color="808080"/>
            </w:tcBorders>
          </w:tcPr>
          <w:p w:rsidR="004D17D6" w:rsidRPr="00057E85" w:rsidRDefault="004D17D6" w:rsidP="001A086E">
            <w:pPr>
              <w:jc w:val="left"/>
              <w:rPr>
                <w:sz w:val="20"/>
              </w:rPr>
            </w:pPr>
            <w:r w:rsidRPr="00057E85">
              <w:rPr>
                <w:sz w:val="20"/>
              </w:rPr>
              <w:t>F</w:t>
            </w:r>
          </w:p>
        </w:tc>
        <w:tc>
          <w:tcPr>
            <w:tcW w:w="1701" w:type="dxa"/>
          </w:tcPr>
          <w:p w:rsidR="004D17D6" w:rsidRPr="00057E85" w:rsidRDefault="004D17D6" w:rsidP="001A086E">
            <w:pPr>
              <w:jc w:val="left"/>
              <w:rPr>
                <w:sz w:val="20"/>
              </w:rPr>
            </w:pPr>
            <w:r w:rsidRPr="00057E85">
              <w:rPr>
                <w:sz w:val="20"/>
              </w:rPr>
              <w:t>Minimum number of workplaces</w:t>
            </w:r>
          </w:p>
        </w:tc>
        <w:tc>
          <w:tcPr>
            <w:tcW w:w="5003" w:type="dxa"/>
            <w:tcBorders>
              <w:right w:val="single" w:sz="4" w:space="0" w:color="808080"/>
            </w:tcBorders>
          </w:tcPr>
          <w:p w:rsidR="004D17D6" w:rsidRPr="00057E85" w:rsidRDefault="004D17D6" w:rsidP="001A086E">
            <w:pPr>
              <w:jc w:val="left"/>
              <w:rPr>
                <w:sz w:val="20"/>
              </w:rPr>
            </w:pPr>
            <w:r w:rsidRPr="00057E85">
              <w:rPr>
                <w:sz w:val="20"/>
              </w:rPr>
              <w:t xml:space="preserve">This column generates the minimum number of workplaces that would need to be provided to accommodate the total student event hours per week by different space types, assuming that all the places were used all the time, in effect a utilisation rate of 100%. The actual number to be provided will almost always be more than this, depending on the planned utilisation level </w:t>
            </w:r>
            <w:r>
              <w:rPr>
                <w:sz w:val="20"/>
              </w:rPr>
              <w:t>HEIs</w:t>
            </w:r>
            <w:r w:rsidRPr="00057E85">
              <w:rPr>
                <w:sz w:val="20"/>
              </w:rPr>
              <w:t xml:space="preserve"> aim to achieve (see Columns F-I below).</w:t>
            </w:r>
          </w:p>
        </w:tc>
      </w:tr>
      <w:tr w:rsidR="004D17D6" w:rsidRPr="000F38FD" w:rsidTr="00057E85">
        <w:trPr>
          <w:cantSplit/>
        </w:trPr>
        <w:tc>
          <w:tcPr>
            <w:tcW w:w="1101" w:type="dxa"/>
            <w:tcBorders>
              <w:left w:val="single" w:sz="4" w:space="0" w:color="808080"/>
            </w:tcBorders>
          </w:tcPr>
          <w:p w:rsidR="004D17D6" w:rsidRPr="00057E85" w:rsidRDefault="004D17D6" w:rsidP="001A086E">
            <w:pPr>
              <w:jc w:val="left"/>
              <w:rPr>
                <w:sz w:val="20"/>
              </w:rPr>
            </w:pPr>
            <w:r w:rsidRPr="00057E85">
              <w:rPr>
                <w:sz w:val="20"/>
              </w:rPr>
              <w:t>G</w:t>
            </w:r>
          </w:p>
        </w:tc>
        <w:tc>
          <w:tcPr>
            <w:tcW w:w="1701" w:type="dxa"/>
          </w:tcPr>
          <w:p w:rsidR="004D17D6" w:rsidRPr="00057E85" w:rsidRDefault="004D17D6" w:rsidP="001A086E">
            <w:pPr>
              <w:jc w:val="left"/>
              <w:rPr>
                <w:sz w:val="20"/>
              </w:rPr>
            </w:pPr>
            <w:r w:rsidRPr="00057E85">
              <w:rPr>
                <w:sz w:val="20"/>
              </w:rPr>
              <w:t>Target frequency of use</w:t>
            </w:r>
          </w:p>
        </w:tc>
        <w:tc>
          <w:tcPr>
            <w:tcW w:w="5003" w:type="dxa"/>
            <w:tcBorders>
              <w:right w:val="single" w:sz="4" w:space="0" w:color="808080"/>
            </w:tcBorders>
          </w:tcPr>
          <w:p w:rsidR="004D17D6" w:rsidRPr="00057E85" w:rsidRDefault="004D17D6" w:rsidP="001A086E">
            <w:pPr>
              <w:jc w:val="left"/>
              <w:rPr>
                <w:sz w:val="20"/>
              </w:rPr>
            </w:pPr>
            <w:r w:rsidRPr="00057E85">
              <w:rPr>
                <w:sz w:val="20"/>
              </w:rPr>
              <w:t xml:space="preserve">This is </w:t>
            </w:r>
            <w:r>
              <w:rPr>
                <w:sz w:val="20"/>
              </w:rPr>
              <w:t>the</w:t>
            </w:r>
            <w:r w:rsidRPr="00057E85">
              <w:rPr>
                <w:sz w:val="20"/>
              </w:rPr>
              <w:t xml:space="preserve"> target for how often </w:t>
            </w:r>
            <w:r>
              <w:rPr>
                <w:sz w:val="20"/>
              </w:rPr>
              <w:t>HEIs</w:t>
            </w:r>
            <w:r w:rsidRPr="00057E85">
              <w:rPr>
                <w:sz w:val="20"/>
              </w:rPr>
              <w:t xml:space="preserve"> plan to use the workplaces over the core timetabled day. Timetables can be a useful source. The higher the target frequency rate, the smaller will be the space prediction.</w:t>
            </w:r>
          </w:p>
        </w:tc>
      </w:tr>
      <w:tr w:rsidR="004D17D6" w:rsidRPr="000F38FD" w:rsidTr="00057E85">
        <w:trPr>
          <w:cantSplit/>
        </w:trPr>
        <w:tc>
          <w:tcPr>
            <w:tcW w:w="1101" w:type="dxa"/>
            <w:tcBorders>
              <w:left w:val="single" w:sz="4" w:space="0" w:color="808080"/>
            </w:tcBorders>
          </w:tcPr>
          <w:p w:rsidR="004D17D6" w:rsidRPr="00057E85" w:rsidRDefault="004D17D6" w:rsidP="001A086E">
            <w:pPr>
              <w:jc w:val="left"/>
              <w:rPr>
                <w:sz w:val="20"/>
              </w:rPr>
            </w:pPr>
            <w:r w:rsidRPr="00057E85">
              <w:rPr>
                <w:sz w:val="20"/>
              </w:rPr>
              <w:t>H</w:t>
            </w:r>
          </w:p>
        </w:tc>
        <w:tc>
          <w:tcPr>
            <w:tcW w:w="1701" w:type="dxa"/>
          </w:tcPr>
          <w:p w:rsidR="004D17D6" w:rsidRPr="00057E85" w:rsidRDefault="004D17D6" w:rsidP="001A086E">
            <w:pPr>
              <w:jc w:val="left"/>
              <w:rPr>
                <w:sz w:val="20"/>
              </w:rPr>
            </w:pPr>
            <w:r w:rsidRPr="00057E85">
              <w:rPr>
                <w:sz w:val="20"/>
              </w:rPr>
              <w:t>Target occupancy of space</w:t>
            </w:r>
          </w:p>
        </w:tc>
        <w:tc>
          <w:tcPr>
            <w:tcW w:w="5003" w:type="dxa"/>
            <w:tcBorders>
              <w:right w:val="single" w:sz="4" w:space="0" w:color="808080"/>
            </w:tcBorders>
          </w:tcPr>
          <w:p w:rsidR="004D17D6" w:rsidRPr="00057E85" w:rsidRDefault="004D17D6" w:rsidP="001A086E">
            <w:pPr>
              <w:jc w:val="left"/>
              <w:rPr>
                <w:sz w:val="20"/>
              </w:rPr>
            </w:pPr>
            <w:r w:rsidRPr="00057E85">
              <w:rPr>
                <w:sz w:val="20"/>
              </w:rPr>
              <w:t xml:space="preserve">This is </w:t>
            </w:r>
            <w:r>
              <w:rPr>
                <w:sz w:val="20"/>
              </w:rPr>
              <w:t>their</w:t>
            </w:r>
            <w:r w:rsidRPr="00057E85">
              <w:rPr>
                <w:sz w:val="20"/>
              </w:rPr>
              <w:t xml:space="preserve"> target for what proportion of workplaces </w:t>
            </w:r>
            <w:r>
              <w:rPr>
                <w:sz w:val="20"/>
              </w:rPr>
              <w:t>HEIs</w:t>
            </w:r>
            <w:r w:rsidRPr="00057E85">
              <w:rPr>
                <w:sz w:val="20"/>
              </w:rPr>
              <w:t xml:space="preserve"> predict to be occupied when rooms are in use. The higher the target occupancy rate, the smaller will be the space prediction.</w:t>
            </w:r>
          </w:p>
        </w:tc>
      </w:tr>
      <w:tr w:rsidR="004D17D6" w:rsidRPr="000F38FD" w:rsidTr="00057E85">
        <w:trPr>
          <w:cantSplit/>
        </w:trPr>
        <w:tc>
          <w:tcPr>
            <w:tcW w:w="1101" w:type="dxa"/>
            <w:tcBorders>
              <w:left w:val="single" w:sz="4" w:space="0" w:color="808080"/>
            </w:tcBorders>
          </w:tcPr>
          <w:p w:rsidR="004D17D6" w:rsidRPr="00057E85" w:rsidRDefault="004D17D6" w:rsidP="001A086E">
            <w:pPr>
              <w:jc w:val="left"/>
              <w:rPr>
                <w:sz w:val="20"/>
              </w:rPr>
            </w:pPr>
            <w:r w:rsidRPr="00057E85">
              <w:rPr>
                <w:sz w:val="20"/>
              </w:rPr>
              <w:t>I</w:t>
            </w:r>
          </w:p>
        </w:tc>
        <w:tc>
          <w:tcPr>
            <w:tcW w:w="1701" w:type="dxa"/>
          </w:tcPr>
          <w:p w:rsidR="004D17D6" w:rsidRPr="00057E85" w:rsidRDefault="004D17D6" w:rsidP="001A086E">
            <w:pPr>
              <w:jc w:val="left"/>
              <w:rPr>
                <w:sz w:val="20"/>
              </w:rPr>
            </w:pPr>
            <w:r w:rsidRPr="00057E85">
              <w:rPr>
                <w:sz w:val="20"/>
              </w:rPr>
              <w:t>Target utilisation rate</w:t>
            </w:r>
          </w:p>
        </w:tc>
        <w:tc>
          <w:tcPr>
            <w:tcW w:w="5003" w:type="dxa"/>
            <w:tcBorders>
              <w:right w:val="single" w:sz="4" w:space="0" w:color="808080"/>
            </w:tcBorders>
          </w:tcPr>
          <w:p w:rsidR="004D17D6" w:rsidRPr="00057E85" w:rsidRDefault="004D17D6" w:rsidP="001A086E">
            <w:pPr>
              <w:jc w:val="left"/>
              <w:rPr>
                <w:sz w:val="20"/>
              </w:rPr>
            </w:pPr>
            <w:r w:rsidRPr="00057E85">
              <w:rPr>
                <w:sz w:val="20"/>
              </w:rPr>
              <w:t xml:space="preserve">This is a function of </w:t>
            </w:r>
            <w:r>
              <w:rPr>
                <w:sz w:val="20"/>
              </w:rPr>
              <w:t xml:space="preserve">HEIs’ </w:t>
            </w:r>
            <w:r w:rsidRPr="00057E85">
              <w:rPr>
                <w:sz w:val="20"/>
              </w:rPr>
              <w:t>choice of target frequency and occupancy rates. It is the planned utilisation rate. The actual utilisation rate based on surveys will usually be lower.</w:t>
            </w:r>
          </w:p>
        </w:tc>
      </w:tr>
      <w:tr w:rsidR="004D17D6" w:rsidRPr="000F38FD" w:rsidTr="00057E85">
        <w:trPr>
          <w:cantSplit/>
        </w:trPr>
        <w:tc>
          <w:tcPr>
            <w:tcW w:w="1101" w:type="dxa"/>
            <w:tcBorders>
              <w:left w:val="single" w:sz="4" w:space="0" w:color="808080"/>
            </w:tcBorders>
          </w:tcPr>
          <w:p w:rsidR="004D17D6" w:rsidRPr="00057E85" w:rsidRDefault="004D17D6" w:rsidP="001A086E">
            <w:pPr>
              <w:jc w:val="left"/>
              <w:rPr>
                <w:sz w:val="20"/>
              </w:rPr>
            </w:pPr>
            <w:r w:rsidRPr="00057E85">
              <w:rPr>
                <w:sz w:val="20"/>
              </w:rPr>
              <w:t>J</w:t>
            </w:r>
          </w:p>
        </w:tc>
        <w:tc>
          <w:tcPr>
            <w:tcW w:w="1701" w:type="dxa"/>
          </w:tcPr>
          <w:p w:rsidR="004D17D6" w:rsidRPr="00057E85" w:rsidRDefault="004D17D6" w:rsidP="001A086E">
            <w:pPr>
              <w:jc w:val="left"/>
              <w:rPr>
                <w:sz w:val="20"/>
              </w:rPr>
            </w:pPr>
            <w:r w:rsidRPr="00057E85">
              <w:rPr>
                <w:sz w:val="20"/>
              </w:rPr>
              <w:t xml:space="preserve">Number of study/workplaces </w:t>
            </w:r>
          </w:p>
        </w:tc>
        <w:tc>
          <w:tcPr>
            <w:tcW w:w="5003" w:type="dxa"/>
            <w:tcBorders>
              <w:right w:val="single" w:sz="4" w:space="0" w:color="808080"/>
            </w:tcBorders>
          </w:tcPr>
          <w:p w:rsidR="004D17D6" w:rsidRPr="00057E85" w:rsidRDefault="004D17D6" w:rsidP="001A086E">
            <w:pPr>
              <w:jc w:val="left"/>
              <w:rPr>
                <w:sz w:val="20"/>
              </w:rPr>
            </w:pPr>
            <w:r w:rsidRPr="00057E85">
              <w:rPr>
                <w:sz w:val="20"/>
              </w:rPr>
              <w:t>This is generated from the minimum number of workplaces and the target utilisation rate. The higher the target utilisation rate, the fewer the number of workplaces that will be predicted.</w:t>
            </w:r>
          </w:p>
        </w:tc>
      </w:tr>
      <w:tr w:rsidR="004D17D6" w:rsidRPr="000F38FD" w:rsidTr="00057E85">
        <w:trPr>
          <w:cantSplit/>
        </w:trPr>
        <w:tc>
          <w:tcPr>
            <w:tcW w:w="1101" w:type="dxa"/>
            <w:tcBorders>
              <w:left w:val="single" w:sz="4" w:space="0" w:color="808080"/>
            </w:tcBorders>
          </w:tcPr>
          <w:p w:rsidR="004D17D6" w:rsidRPr="00057E85" w:rsidRDefault="004D17D6" w:rsidP="001A086E">
            <w:pPr>
              <w:jc w:val="left"/>
              <w:rPr>
                <w:sz w:val="20"/>
              </w:rPr>
            </w:pPr>
            <w:r w:rsidRPr="00057E85">
              <w:rPr>
                <w:sz w:val="20"/>
              </w:rPr>
              <w:t>K</w:t>
            </w:r>
          </w:p>
        </w:tc>
        <w:tc>
          <w:tcPr>
            <w:tcW w:w="1701" w:type="dxa"/>
          </w:tcPr>
          <w:p w:rsidR="004D17D6" w:rsidRPr="00057E85" w:rsidRDefault="004D17D6" w:rsidP="001A086E">
            <w:pPr>
              <w:jc w:val="left"/>
              <w:rPr>
                <w:sz w:val="20"/>
              </w:rPr>
            </w:pPr>
            <w:r w:rsidRPr="00057E85">
              <w:rPr>
                <w:sz w:val="20"/>
              </w:rPr>
              <w:t>Area per workplace (m²) (default provided)</w:t>
            </w:r>
          </w:p>
        </w:tc>
        <w:tc>
          <w:tcPr>
            <w:tcW w:w="5003" w:type="dxa"/>
            <w:tcBorders>
              <w:right w:val="single" w:sz="4" w:space="0" w:color="808080"/>
            </w:tcBorders>
          </w:tcPr>
          <w:p w:rsidR="004D17D6" w:rsidRPr="00057E85" w:rsidRDefault="004D17D6" w:rsidP="001A086E">
            <w:pPr>
              <w:jc w:val="left"/>
              <w:rPr>
                <w:sz w:val="20"/>
              </w:rPr>
            </w:pPr>
            <w:r w:rsidRPr="00057E85">
              <w:rPr>
                <w:sz w:val="20"/>
              </w:rPr>
              <w:t>This is the net internal area (NIA) in m² that is needed for each workplace. It will vary according to the type of space. The smaller the area per workplace, the smaller will be the space prediction.</w:t>
            </w:r>
          </w:p>
        </w:tc>
      </w:tr>
      <w:tr w:rsidR="004D17D6" w:rsidRPr="000F38FD" w:rsidTr="00057E85">
        <w:trPr>
          <w:cantSplit/>
        </w:trPr>
        <w:tc>
          <w:tcPr>
            <w:tcW w:w="1101" w:type="dxa"/>
            <w:tcBorders>
              <w:left w:val="single" w:sz="4" w:space="0" w:color="808080"/>
            </w:tcBorders>
          </w:tcPr>
          <w:p w:rsidR="004D17D6" w:rsidRPr="00057E85" w:rsidRDefault="004D17D6" w:rsidP="001A086E">
            <w:pPr>
              <w:jc w:val="left"/>
              <w:rPr>
                <w:sz w:val="20"/>
              </w:rPr>
            </w:pPr>
            <w:r w:rsidRPr="00057E85">
              <w:rPr>
                <w:sz w:val="20"/>
              </w:rPr>
              <w:t>L</w:t>
            </w:r>
          </w:p>
        </w:tc>
        <w:tc>
          <w:tcPr>
            <w:tcW w:w="1701" w:type="dxa"/>
          </w:tcPr>
          <w:p w:rsidR="004D17D6" w:rsidRPr="00057E85" w:rsidRDefault="004D17D6" w:rsidP="001A086E">
            <w:pPr>
              <w:jc w:val="left"/>
              <w:rPr>
                <w:sz w:val="20"/>
              </w:rPr>
            </w:pPr>
            <w:r w:rsidRPr="00057E85">
              <w:rPr>
                <w:sz w:val="20"/>
              </w:rPr>
              <w:t>Ancillary allowances where applicable (some defaults provided)</w:t>
            </w:r>
          </w:p>
        </w:tc>
        <w:tc>
          <w:tcPr>
            <w:tcW w:w="5003" w:type="dxa"/>
            <w:tcBorders>
              <w:right w:val="single" w:sz="4" w:space="0" w:color="808080"/>
            </w:tcBorders>
          </w:tcPr>
          <w:p w:rsidR="004D17D6" w:rsidRPr="00057E85" w:rsidRDefault="004D17D6" w:rsidP="001A086E">
            <w:pPr>
              <w:jc w:val="left"/>
              <w:rPr>
                <w:sz w:val="20"/>
              </w:rPr>
            </w:pPr>
            <w:r w:rsidRPr="00057E85">
              <w:rPr>
                <w:sz w:val="20"/>
              </w:rPr>
              <w:t xml:space="preserve">This is an additional allowance per workplace (NIA m²) for areas such as preparation areas associated with laboratories. </w:t>
            </w:r>
            <w:r>
              <w:rPr>
                <w:sz w:val="20"/>
              </w:rPr>
              <w:t xml:space="preserve">HEIs </w:t>
            </w:r>
            <w:r w:rsidRPr="00057E85">
              <w:rPr>
                <w:sz w:val="20"/>
              </w:rPr>
              <w:t>can add them in, or exclude them for different types of space.</w:t>
            </w:r>
          </w:p>
        </w:tc>
      </w:tr>
      <w:tr w:rsidR="004D17D6" w:rsidRPr="000F38FD" w:rsidTr="00057E85">
        <w:trPr>
          <w:cantSplit/>
        </w:trPr>
        <w:tc>
          <w:tcPr>
            <w:tcW w:w="1101" w:type="dxa"/>
            <w:tcBorders>
              <w:left w:val="single" w:sz="4" w:space="0" w:color="808080"/>
            </w:tcBorders>
          </w:tcPr>
          <w:p w:rsidR="004D17D6" w:rsidRPr="00057E85" w:rsidRDefault="004D17D6" w:rsidP="001A086E">
            <w:pPr>
              <w:jc w:val="left"/>
              <w:rPr>
                <w:sz w:val="20"/>
              </w:rPr>
            </w:pPr>
            <w:r w:rsidRPr="00057E85">
              <w:rPr>
                <w:sz w:val="20"/>
              </w:rPr>
              <w:t>M</w:t>
            </w:r>
          </w:p>
        </w:tc>
        <w:tc>
          <w:tcPr>
            <w:tcW w:w="1701" w:type="dxa"/>
          </w:tcPr>
          <w:p w:rsidR="004D17D6" w:rsidRPr="00057E85" w:rsidRDefault="004D17D6" w:rsidP="001A086E">
            <w:pPr>
              <w:jc w:val="left"/>
              <w:rPr>
                <w:sz w:val="20"/>
              </w:rPr>
            </w:pPr>
            <w:r w:rsidRPr="00057E85">
              <w:rPr>
                <w:sz w:val="20"/>
              </w:rPr>
              <w:t>Area predicted (m²)</w:t>
            </w:r>
          </w:p>
        </w:tc>
        <w:tc>
          <w:tcPr>
            <w:tcW w:w="5003" w:type="dxa"/>
            <w:tcBorders>
              <w:right w:val="single" w:sz="4" w:space="0" w:color="808080"/>
            </w:tcBorders>
          </w:tcPr>
          <w:p w:rsidR="004D17D6" w:rsidRPr="00057E85" w:rsidRDefault="004D17D6" w:rsidP="001A086E">
            <w:pPr>
              <w:jc w:val="left"/>
              <w:rPr>
                <w:sz w:val="20"/>
              </w:rPr>
            </w:pPr>
            <w:r w:rsidRPr="00057E85">
              <w:rPr>
                <w:sz w:val="20"/>
              </w:rPr>
              <w:t>This is generated from the number of workplaces to be provided and the area per workplace and the ancillary allowances where applicable.</w:t>
            </w:r>
          </w:p>
        </w:tc>
      </w:tr>
      <w:tr w:rsidR="004D17D6" w:rsidRPr="000F38FD" w:rsidTr="00057E85">
        <w:trPr>
          <w:cantSplit/>
        </w:trPr>
        <w:tc>
          <w:tcPr>
            <w:tcW w:w="1101" w:type="dxa"/>
            <w:tcBorders>
              <w:left w:val="single" w:sz="4" w:space="0" w:color="808080"/>
            </w:tcBorders>
          </w:tcPr>
          <w:p w:rsidR="004D17D6" w:rsidRPr="00057E85" w:rsidRDefault="004D17D6" w:rsidP="001A086E">
            <w:pPr>
              <w:jc w:val="left"/>
              <w:rPr>
                <w:sz w:val="20"/>
              </w:rPr>
            </w:pPr>
            <w:r w:rsidRPr="00057E85">
              <w:rPr>
                <w:sz w:val="20"/>
              </w:rPr>
              <w:t>O-V</w:t>
            </w:r>
          </w:p>
        </w:tc>
        <w:tc>
          <w:tcPr>
            <w:tcW w:w="1701" w:type="dxa"/>
          </w:tcPr>
          <w:p w:rsidR="004D17D6" w:rsidRPr="00057E85" w:rsidRDefault="004D17D6" w:rsidP="001A086E">
            <w:pPr>
              <w:jc w:val="left"/>
              <w:rPr>
                <w:sz w:val="20"/>
              </w:rPr>
            </w:pPr>
            <w:r w:rsidRPr="00057E85">
              <w:rPr>
                <w:sz w:val="20"/>
              </w:rPr>
              <w:t>Area predicted by spaced type (m2)</w:t>
            </w:r>
          </w:p>
        </w:tc>
        <w:tc>
          <w:tcPr>
            <w:tcW w:w="5003" w:type="dxa"/>
            <w:tcBorders>
              <w:right w:val="single" w:sz="4" w:space="0" w:color="808080"/>
            </w:tcBorders>
          </w:tcPr>
          <w:p w:rsidR="004D17D6" w:rsidRPr="00057E85" w:rsidRDefault="004D17D6" w:rsidP="001A086E">
            <w:pPr>
              <w:jc w:val="left"/>
              <w:rPr>
                <w:sz w:val="20"/>
              </w:rPr>
            </w:pPr>
            <w:r w:rsidRPr="00057E85">
              <w:rPr>
                <w:sz w:val="20"/>
              </w:rPr>
              <w:t>These columns give a breakdown of the total area by space type.</w:t>
            </w:r>
          </w:p>
        </w:tc>
      </w:tr>
      <w:tr w:rsidR="004D17D6" w:rsidRPr="000F38FD" w:rsidTr="00057E85">
        <w:trPr>
          <w:cantSplit/>
        </w:trPr>
        <w:tc>
          <w:tcPr>
            <w:tcW w:w="1101" w:type="dxa"/>
            <w:tcBorders>
              <w:left w:val="single" w:sz="4" w:space="0" w:color="808080"/>
              <w:bottom w:val="single" w:sz="4" w:space="0" w:color="808080"/>
            </w:tcBorders>
          </w:tcPr>
          <w:p w:rsidR="004D17D6" w:rsidRPr="00057E85" w:rsidRDefault="004D17D6" w:rsidP="001A086E">
            <w:pPr>
              <w:jc w:val="left"/>
              <w:rPr>
                <w:sz w:val="20"/>
              </w:rPr>
            </w:pPr>
            <w:r w:rsidRPr="00057E85">
              <w:rPr>
                <w:sz w:val="20"/>
              </w:rPr>
              <w:t>W</w:t>
            </w:r>
          </w:p>
        </w:tc>
        <w:tc>
          <w:tcPr>
            <w:tcW w:w="1701" w:type="dxa"/>
            <w:tcBorders>
              <w:bottom w:val="single" w:sz="4" w:space="0" w:color="808080"/>
            </w:tcBorders>
          </w:tcPr>
          <w:p w:rsidR="004D17D6" w:rsidRPr="00057E85" w:rsidRDefault="004D17D6" w:rsidP="001A086E">
            <w:pPr>
              <w:jc w:val="left"/>
              <w:rPr>
                <w:sz w:val="20"/>
              </w:rPr>
            </w:pPr>
            <w:r w:rsidRPr="00057E85">
              <w:rPr>
                <w:sz w:val="20"/>
              </w:rPr>
              <w:t>Area predicted per student FTE (m²)</w:t>
            </w:r>
          </w:p>
        </w:tc>
        <w:tc>
          <w:tcPr>
            <w:tcW w:w="5003" w:type="dxa"/>
            <w:tcBorders>
              <w:bottom w:val="single" w:sz="4" w:space="0" w:color="808080"/>
              <w:right w:val="single" w:sz="4" w:space="0" w:color="808080"/>
            </w:tcBorders>
          </w:tcPr>
          <w:p w:rsidR="004D17D6" w:rsidRPr="00057E85" w:rsidRDefault="004D17D6" w:rsidP="001A086E">
            <w:pPr>
              <w:jc w:val="left"/>
              <w:rPr>
                <w:sz w:val="20"/>
              </w:rPr>
            </w:pPr>
            <w:r w:rsidRPr="00057E85">
              <w:rPr>
                <w:sz w:val="20"/>
              </w:rPr>
              <w:t>This is the total area predicted (available from Column M) divided by the total number of student FTEs.</w:t>
            </w:r>
          </w:p>
        </w:tc>
      </w:tr>
    </w:tbl>
    <w:p w:rsidR="004D17D6" w:rsidRDefault="004D17D6" w:rsidP="003F5017"/>
    <w:p w:rsidR="004D17D6" w:rsidRPr="008A7610" w:rsidRDefault="004D17D6" w:rsidP="004563CC">
      <w:pPr>
        <w:pStyle w:val="Heading4"/>
        <w:spacing w:before="0"/>
      </w:pPr>
      <w:r>
        <w:t>O</w:t>
      </w:r>
      <w:r w:rsidRPr="008A7610">
        <w:t>ffice space</w:t>
      </w:r>
    </w:p>
    <w:p w:rsidR="004D17D6" w:rsidRDefault="004D17D6" w:rsidP="004563CC">
      <w:pPr>
        <w:keepNext/>
      </w:pPr>
      <w:r w:rsidRPr="008A7610">
        <w:t>Rows 32-53 of the examples provide an indication of office based space needs associated with teaching, research and academic administrative activities. They exclude central institutional administration and support office needs which are addressed as part of the support space profile outlined later in the guide.</w:t>
      </w:r>
    </w:p>
    <w:p w:rsidR="004D17D6" w:rsidRDefault="004D17D6" w:rsidP="004563CC">
      <w:pPr>
        <w:keepNext/>
      </w:pPr>
      <w:r w:rsidRPr="008A7610">
        <w:t xml:space="preserve"> HEIs can use this part of the examples either to look at current numbers of office occupants and types of space provided: or to model the potential effect of changes in the number of occupants on space need and/or of adopting different types of office space.</w:t>
      </w:r>
    </w:p>
    <w:p w:rsidR="004D17D6" w:rsidRDefault="004D17D6" w:rsidP="004563CC">
      <w:pPr>
        <w:keepNext/>
      </w:pPr>
      <w:r w:rsidRPr="008A7610">
        <w:t>The academic staff numbers in each example are based on average HESA staff: student ratios for cost centres. The support staff numbers are based on average HESA academic staff: support staff ratios. HEIs can use their own data where the averages do not reflect their own levels of provision.  It will also be necessary to check that all staff needing office space are included, such as research funded staff.</w:t>
      </w:r>
    </w:p>
    <w:p w:rsidR="004D17D6" w:rsidRDefault="004D17D6" w:rsidP="004563CC">
      <w:pPr>
        <w:keepNext/>
      </w:pPr>
      <w:r w:rsidRPr="008A7610">
        <w:t>The key elements of the office space predictions are as follows:</w:t>
      </w:r>
    </w:p>
    <w:p w:rsidR="004D17D6" w:rsidRDefault="004D17D6" w:rsidP="004563CC">
      <w:pPr>
        <w:keepNext/>
      </w:pPr>
    </w:p>
    <w:tbl>
      <w:tblPr>
        <w:tblW w:w="0" w:type="auto"/>
        <w:tblLayout w:type="fixed"/>
        <w:tblLook w:val="0000" w:firstRow="0" w:lastRow="0" w:firstColumn="0" w:lastColumn="0" w:noHBand="0" w:noVBand="0"/>
      </w:tblPr>
      <w:tblGrid>
        <w:gridCol w:w="1101"/>
        <w:gridCol w:w="1701"/>
        <w:gridCol w:w="5003"/>
      </w:tblGrid>
      <w:tr w:rsidR="004D17D6" w:rsidRPr="00E56C7E" w:rsidTr="009506D4">
        <w:trPr>
          <w:cantSplit/>
          <w:tblHeader/>
        </w:trPr>
        <w:tc>
          <w:tcPr>
            <w:tcW w:w="7805" w:type="dxa"/>
            <w:gridSpan w:val="3"/>
            <w:tcBorders>
              <w:top w:val="single" w:sz="4" w:space="0" w:color="808080"/>
              <w:left w:val="single" w:sz="4" w:space="0" w:color="808080"/>
              <w:bottom w:val="single" w:sz="4" w:space="0" w:color="808080"/>
              <w:right w:val="single" w:sz="4" w:space="0" w:color="808080"/>
            </w:tcBorders>
            <w:shd w:val="pct10" w:color="auto" w:fill="auto"/>
          </w:tcPr>
          <w:p w:rsidR="004D17D6" w:rsidRPr="0095577D" w:rsidRDefault="004D17D6" w:rsidP="008C1A5D">
            <w:pPr>
              <w:pStyle w:val="StyleCaptionCalibriBefore14ptAfter14pt"/>
              <w:keepNext/>
            </w:pPr>
            <w:bookmarkStart w:id="7" w:name="_Ref254196188"/>
            <w:r w:rsidRPr="0095577D">
              <w:t xml:space="preserve">Table </w:t>
            </w:r>
            <w:r w:rsidR="00B975BF">
              <w:fldChar w:fldCharType="begin"/>
            </w:r>
            <w:r w:rsidR="00B975BF">
              <w:instrText xml:space="preserve"> SEQ Table \* ARABIC </w:instrText>
            </w:r>
            <w:r w:rsidR="00B975BF">
              <w:fldChar w:fldCharType="separate"/>
            </w:r>
            <w:r w:rsidR="00340977">
              <w:rPr>
                <w:noProof/>
              </w:rPr>
              <w:t>3</w:t>
            </w:r>
            <w:r w:rsidR="00B975BF">
              <w:rPr>
                <w:noProof/>
              </w:rPr>
              <w:fldChar w:fldCharType="end"/>
            </w:r>
            <w:bookmarkEnd w:id="7"/>
            <w:r w:rsidRPr="0095577D">
              <w:t xml:space="preserve">: </w:t>
            </w:r>
            <w:r>
              <w:t>Office space inputs</w:t>
            </w:r>
          </w:p>
        </w:tc>
      </w:tr>
      <w:tr w:rsidR="004D17D6" w:rsidRPr="000F38FD" w:rsidTr="009506D4">
        <w:trPr>
          <w:cantSplit/>
          <w:tblHeader/>
        </w:trPr>
        <w:tc>
          <w:tcPr>
            <w:tcW w:w="1101" w:type="dxa"/>
            <w:tcBorders>
              <w:top w:val="single" w:sz="4" w:space="0" w:color="808080"/>
              <w:left w:val="single" w:sz="4" w:space="0" w:color="808080"/>
              <w:bottom w:val="single" w:sz="4" w:space="0" w:color="808080"/>
            </w:tcBorders>
            <w:vAlign w:val="bottom"/>
          </w:tcPr>
          <w:p w:rsidR="004D17D6" w:rsidRPr="000F38FD" w:rsidRDefault="004D17D6" w:rsidP="009506D4">
            <w:pPr>
              <w:keepNext/>
              <w:jc w:val="left"/>
              <w:rPr>
                <w:b/>
              </w:rPr>
            </w:pPr>
            <w:r>
              <w:rPr>
                <w:b/>
              </w:rPr>
              <w:t>Column</w:t>
            </w:r>
          </w:p>
        </w:tc>
        <w:tc>
          <w:tcPr>
            <w:tcW w:w="1701" w:type="dxa"/>
            <w:tcBorders>
              <w:top w:val="single" w:sz="4" w:space="0" w:color="808080"/>
              <w:bottom w:val="single" w:sz="4" w:space="0" w:color="808080"/>
            </w:tcBorders>
            <w:vAlign w:val="bottom"/>
          </w:tcPr>
          <w:p w:rsidR="004D17D6" w:rsidRPr="000F38FD" w:rsidRDefault="004D17D6" w:rsidP="009506D4">
            <w:pPr>
              <w:keepNext/>
              <w:jc w:val="left"/>
              <w:rPr>
                <w:b/>
              </w:rPr>
            </w:pPr>
            <w:r>
              <w:rPr>
                <w:b/>
              </w:rPr>
              <w:t>Input data</w:t>
            </w:r>
          </w:p>
        </w:tc>
        <w:tc>
          <w:tcPr>
            <w:tcW w:w="5003" w:type="dxa"/>
            <w:tcBorders>
              <w:top w:val="single" w:sz="4" w:space="0" w:color="808080"/>
              <w:bottom w:val="single" w:sz="4" w:space="0" w:color="808080"/>
              <w:right w:val="single" w:sz="4" w:space="0" w:color="808080"/>
            </w:tcBorders>
            <w:vAlign w:val="bottom"/>
          </w:tcPr>
          <w:p w:rsidR="004D17D6" w:rsidRPr="000F38FD" w:rsidRDefault="004D17D6" w:rsidP="009506D4">
            <w:pPr>
              <w:keepNext/>
              <w:jc w:val="left"/>
              <w:rPr>
                <w:b/>
              </w:rPr>
            </w:pPr>
            <w:r>
              <w:rPr>
                <w:b/>
              </w:rPr>
              <w:t>Comment</w:t>
            </w:r>
          </w:p>
        </w:tc>
      </w:tr>
      <w:tr w:rsidR="004D17D6" w:rsidRPr="000F38FD" w:rsidTr="009506D4">
        <w:trPr>
          <w:cantSplit/>
        </w:trPr>
        <w:tc>
          <w:tcPr>
            <w:tcW w:w="1101" w:type="dxa"/>
            <w:tcBorders>
              <w:top w:val="single" w:sz="4" w:space="0" w:color="808080"/>
              <w:left w:val="single" w:sz="4" w:space="0" w:color="808080"/>
            </w:tcBorders>
          </w:tcPr>
          <w:p w:rsidR="004D17D6" w:rsidRPr="008C1A5D" w:rsidRDefault="004D17D6" w:rsidP="008C1A5D">
            <w:pPr>
              <w:keepNext/>
              <w:jc w:val="left"/>
              <w:rPr>
                <w:sz w:val="20"/>
              </w:rPr>
            </w:pPr>
            <w:r w:rsidRPr="008C1A5D">
              <w:rPr>
                <w:sz w:val="20"/>
              </w:rPr>
              <w:t>A</w:t>
            </w:r>
          </w:p>
        </w:tc>
        <w:tc>
          <w:tcPr>
            <w:tcW w:w="1701" w:type="dxa"/>
            <w:tcBorders>
              <w:top w:val="single" w:sz="4" w:space="0" w:color="808080"/>
            </w:tcBorders>
          </w:tcPr>
          <w:p w:rsidR="004D17D6" w:rsidRPr="008C1A5D" w:rsidRDefault="004D17D6" w:rsidP="00A02926">
            <w:pPr>
              <w:keepNext/>
              <w:jc w:val="left"/>
              <w:rPr>
                <w:sz w:val="20"/>
              </w:rPr>
            </w:pPr>
            <w:r w:rsidRPr="008C1A5D">
              <w:rPr>
                <w:sz w:val="20"/>
              </w:rPr>
              <w:t>Types of office spaces.</w:t>
            </w:r>
          </w:p>
        </w:tc>
        <w:tc>
          <w:tcPr>
            <w:tcW w:w="5003" w:type="dxa"/>
            <w:tcBorders>
              <w:top w:val="single" w:sz="4" w:space="0" w:color="808080"/>
              <w:right w:val="single" w:sz="4" w:space="0" w:color="808080"/>
            </w:tcBorders>
          </w:tcPr>
          <w:p w:rsidR="004D17D6" w:rsidRPr="008C1A5D" w:rsidRDefault="004D17D6" w:rsidP="008C1A5D">
            <w:pPr>
              <w:keepNext/>
              <w:jc w:val="left"/>
              <w:rPr>
                <w:sz w:val="20"/>
              </w:rPr>
            </w:pPr>
            <w:r w:rsidRPr="008C1A5D">
              <w:rPr>
                <w:sz w:val="20"/>
              </w:rPr>
              <w:t>This column lists a series of potential types of office space.</w:t>
            </w:r>
          </w:p>
        </w:tc>
      </w:tr>
      <w:tr w:rsidR="004D17D6" w:rsidRPr="000F38FD" w:rsidTr="009506D4">
        <w:trPr>
          <w:cantSplit/>
        </w:trPr>
        <w:tc>
          <w:tcPr>
            <w:tcW w:w="1101" w:type="dxa"/>
            <w:tcBorders>
              <w:left w:val="single" w:sz="4" w:space="0" w:color="808080"/>
            </w:tcBorders>
          </w:tcPr>
          <w:p w:rsidR="004D17D6" w:rsidRPr="008C1A5D" w:rsidRDefault="004D17D6" w:rsidP="008C1A5D">
            <w:pPr>
              <w:keepNext/>
              <w:jc w:val="left"/>
              <w:rPr>
                <w:sz w:val="20"/>
              </w:rPr>
            </w:pPr>
            <w:r w:rsidRPr="008C1A5D">
              <w:rPr>
                <w:sz w:val="20"/>
              </w:rPr>
              <w:t>B</w:t>
            </w:r>
          </w:p>
        </w:tc>
        <w:tc>
          <w:tcPr>
            <w:tcW w:w="1701" w:type="dxa"/>
          </w:tcPr>
          <w:p w:rsidR="004D17D6" w:rsidRPr="008C1A5D" w:rsidRDefault="004D17D6" w:rsidP="008C1A5D">
            <w:pPr>
              <w:keepNext/>
              <w:jc w:val="left"/>
              <w:rPr>
                <w:sz w:val="20"/>
              </w:rPr>
            </w:pPr>
            <w:r w:rsidRPr="008C1A5D">
              <w:rPr>
                <w:sz w:val="20"/>
              </w:rPr>
              <w:t>Area per workplace (m2)</w:t>
            </w:r>
          </w:p>
        </w:tc>
        <w:tc>
          <w:tcPr>
            <w:tcW w:w="5003" w:type="dxa"/>
            <w:tcBorders>
              <w:right w:val="single" w:sz="4" w:space="0" w:color="808080"/>
            </w:tcBorders>
          </w:tcPr>
          <w:p w:rsidR="004D17D6" w:rsidRPr="008C1A5D" w:rsidRDefault="004D17D6" w:rsidP="00A02926">
            <w:pPr>
              <w:keepNext/>
              <w:jc w:val="left"/>
              <w:rPr>
                <w:sz w:val="20"/>
              </w:rPr>
            </w:pPr>
            <w:r w:rsidRPr="008C1A5D">
              <w:rPr>
                <w:sz w:val="20"/>
              </w:rPr>
              <w:t>This is the net internal area (NIA) in m² that is needed for each workplace. The smaller the area per workplace, the smaller will be the space prediction.</w:t>
            </w:r>
          </w:p>
        </w:tc>
      </w:tr>
      <w:tr w:rsidR="004D17D6" w:rsidRPr="000F38FD" w:rsidTr="009506D4">
        <w:trPr>
          <w:cantSplit/>
        </w:trPr>
        <w:tc>
          <w:tcPr>
            <w:tcW w:w="1101" w:type="dxa"/>
            <w:tcBorders>
              <w:left w:val="single" w:sz="4" w:space="0" w:color="808080"/>
            </w:tcBorders>
          </w:tcPr>
          <w:p w:rsidR="004D17D6" w:rsidRPr="008C1A5D" w:rsidRDefault="004D17D6" w:rsidP="008C1A5D">
            <w:pPr>
              <w:keepNext/>
              <w:jc w:val="left"/>
              <w:rPr>
                <w:sz w:val="20"/>
              </w:rPr>
            </w:pPr>
            <w:r w:rsidRPr="008C1A5D">
              <w:rPr>
                <w:sz w:val="20"/>
              </w:rPr>
              <w:t>C</w:t>
            </w:r>
          </w:p>
        </w:tc>
        <w:tc>
          <w:tcPr>
            <w:tcW w:w="1701" w:type="dxa"/>
          </w:tcPr>
          <w:p w:rsidR="004D17D6" w:rsidRPr="008C1A5D" w:rsidRDefault="004D17D6" w:rsidP="00A02926">
            <w:pPr>
              <w:keepNext/>
              <w:jc w:val="left"/>
              <w:rPr>
                <w:sz w:val="20"/>
              </w:rPr>
            </w:pPr>
            <w:r w:rsidRPr="008C1A5D">
              <w:rPr>
                <w:sz w:val="20"/>
              </w:rPr>
              <w:t>Shared workplace ratios</w:t>
            </w:r>
          </w:p>
        </w:tc>
        <w:tc>
          <w:tcPr>
            <w:tcW w:w="5003" w:type="dxa"/>
            <w:tcBorders>
              <w:right w:val="single" w:sz="4" w:space="0" w:color="808080"/>
            </w:tcBorders>
          </w:tcPr>
          <w:p w:rsidR="004D17D6" w:rsidRPr="008C1A5D" w:rsidRDefault="004D17D6" w:rsidP="008C1A5D">
            <w:pPr>
              <w:keepNext/>
              <w:jc w:val="left"/>
              <w:rPr>
                <w:sz w:val="20"/>
              </w:rPr>
            </w:pPr>
            <w:r w:rsidRPr="008C1A5D">
              <w:rPr>
                <w:sz w:val="20"/>
              </w:rPr>
              <w:t xml:space="preserve">This allows </w:t>
            </w:r>
            <w:r>
              <w:rPr>
                <w:sz w:val="20"/>
              </w:rPr>
              <w:t xml:space="preserve">HEIs </w:t>
            </w:r>
            <w:r w:rsidRPr="008C1A5D">
              <w:rPr>
                <w:sz w:val="20"/>
              </w:rPr>
              <w:t>to provide for sharing workspaces, for example where staff FTE fractions are below 0.5.</w:t>
            </w:r>
          </w:p>
        </w:tc>
      </w:tr>
      <w:tr w:rsidR="004D17D6" w:rsidRPr="000F38FD" w:rsidTr="009506D4">
        <w:trPr>
          <w:cantSplit/>
        </w:trPr>
        <w:tc>
          <w:tcPr>
            <w:tcW w:w="1101" w:type="dxa"/>
            <w:tcBorders>
              <w:left w:val="single" w:sz="4" w:space="0" w:color="808080"/>
            </w:tcBorders>
          </w:tcPr>
          <w:p w:rsidR="004D17D6" w:rsidRPr="008C1A5D" w:rsidRDefault="004D17D6" w:rsidP="008C1A5D">
            <w:pPr>
              <w:keepNext/>
              <w:jc w:val="left"/>
              <w:rPr>
                <w:sz w:val="20"/>
              </w:rPr>
            </w:pPr>
            <w:r w:rsidRPr="008C1A5D">
              <w:rPr>
                <w:sz w:val="20"/>
              </w:rPr>
              <w:t>D</w:t>
            </w:r>
          </w:p>
        </w:tc>
        <w:tc>
          <w:tcPr>
            <w:tcW w:w="1701" w:type="dxa"/>
          </w:tcPr>
          <w:p w:rsidR="004D17D6" w:rsidRPr="008C1A5D" w:rsidRDefault="004D17D6" w:rsidP="008C1A5D">
            <w:pPr>
              <w:keepNext/>
              <w:jc w:val="left"/>
              <w:rPr>
                <w:sz w:val="20"/>
              </w:rPr>
            </w:pPr>
            <w:r w:rsidRPr="008C1A5D">
              <w:rPr>
                <w:sz w:val="20"/>
              </w:rPr>
              <w:t>Number of office occupants</w:t>
            </w:r>
          </w:p>
        </w:tc>
        <w:tc>
          <w:tcPr>
            <w:tcW w:w="5003" w:type="dxa"/>
            <w:tcBorders>
              <w:right w:val="single" w:sz="4" w:space="0" w:color="808080"/>
            </w:tcBorders>
          </w:tcPr>
          <w:p w:rsidR="004D17D6" w:rsidRPr="008C1A5D" w:rsidRDefault="004D17D6" w:rsidP="00A02926">
            <w:pPr>
              <w:keepNext/>
              <w:jc w:val="left"/>
              <w:rPr>
                <w:sz w:val="20"/>
              </w:rPr>
            </w:pPr>
            <w:r w:rsidRPr="008C1A5D">
              <w:rPr>
                <w:sz w:val="20"/>
              </w:rPr>
              <w:t xml:space="preserve">This column includes the total numbers of staff and research students. </w:t>
            </w:r>
            <w:r>
              <w:rPr>
                <w:sz w:val="20"/>
              </w:rPr>
              <w:t xml:space="preserve">HEIs </w:t>
            </w:r>
            <w:r w:rsidRPr="008C1A5D">
              <w:rPr>
                <w:sz w:val="20"/>
              </w:rPr>
              <w:t xml:space="preserve">need to decide on the type and mix of office space you think is appropriate. For example, if </w:t>
            </w:r>
            <w:r>
              <w:rPr>
                <w:sz w:val="20"/>
              </w:rPr>
              <w:t xml:space="preserve">HEIs </w:t>
            </w:r>
            <w:r w:rsidRPr="008C1A5D">
              <w:rPr>
                <w:sz w:val="20"/>
              </w:rPr>
              <w:t xml:space="preserve">want to have a mix of types, including a few cellular offices and some shared, </w:t>
            </w:r>
            <w:r>
              <w:rPr>
                <w:sz w:val="20"/>
              </w:rPr>
              <w:t xml:space="preserve">it will be </w:t>
            </w:r>
            <w:r w:rsidR="00D32EF2">
              <w:rPr>
                <w:sz w:val="20"/>
              </w:rPr>
              <w:t xml:space="preserve">necessary </w:t>
            </w:r>
            <w:r w:rsidR="00D32EF2" w:rsidRPr="008C1A5D">
              <w:rPr>
                <w:sz w:val="20"/>
              </w:rPr>
              <w:t>to</w:t>
            </w:r>
            <w:r w:rsidRPr="008C1A5D">
              <w:rPr>
                <w:sz w:val="20"/>
              </w:rPr>
              <w:t xml:space="preserve"> allocate the number of occupants to the relevant space types in the worksheet.</w:t>
            </w:r>
          </w:p>
        </w:tc>
      </w:tr>
      <w:tr w:rsidR="004D17D6" w:rsidRPr="000F38FD" w:rsidTr="009506D4">
        <w:trPr>
          <w:cantSplit/>
        </w:trPr>
        <w:tc>
          <w:tcPr>
            <w:tcW w:w="1101" w:type="dxa"/>
            <w:tcBorders>
              <w:left w:val="single" w:sz="4" w:space="0" w:color="808080"/>
              <w:bottom w:val="single" w:sz="4" w:space="0" w:color="808080"/>
            </w:tcBorders>
          </w:tcPr>
          <w:p w:rsidR="004D17D6" w:rsidRPr="008C1A5D" w:rsidRDefault="004D17D6" w:rsidP="004F2E1F">
            <w:pPr>
              <w:keepNext/>
              <w:jc w:val="left"/>
              <w:rPr>
                <w:sz w:val="20"/>
              </w:rPr>
            </w:pPr>
            <w:r w:rsidRPr="008C1A5D">
              <w:rPr>
                <w:sz w:val="20"/>
              </w:rPr>
              <w:t>E</w:t>
            </w:r>
          </w:p>
        </w:tc>
        <w:tc>
          <w:tcPr>
            <w:tcW w:w="1701" w:type="dxa"/>
            <w:tcBorders>
              <w:bottom w:val="single" w:sz="4" w:space="0" w:color="808080"/>
            </w:tcBorders>
          </w:tcPr>
          <w:p w:rsidR="004D17D6" w:rsidRPr="00A02926" w:rsidRDefault="004D17D6" w:rsidP="00A02926">
            <w:pPr>
              <w:keepNext/>
              <w:jc w:val="left"/>
              <w:rPr>
                <w:sz w:val="20"/>
                <w:szCs w:val="20"/>
              </w:rPr>
            </w:pPr>
            <w:r w:rsidRPr="00A02926">
              <w:rPr>
                <w:sz w:val="20"/>
                <w:szCs w:val="20"/>
              </w:rPr>
              <w:t xml:space="preserve">Area predicted by space type (m²) </w:t>
            </w:r>
          </w:p>
        </w:tc>
        <w:tc>
          <w:tcPr>
            <w:tcW w:w="5003" w:type="dxa"/>
            <w:tcBorders>
              <w:bottom w:val="single" w:sz="4" w:space="0" w:color="808080"/>
              <w:right w:val="single" w:sz="4" w:space="0" w:color="808080"/>
            </w:tcBorders>
          </w:tcPr>
          <w:p w:rsidR="004D17D6" w:rsidRPr="008C1A5D" w:rsidRDefault="004D17D6" w:rsidP="004F2E1F">
            <w:pPr>
              <w:keepNext/>
              <w:jc w:val="left"/>
              <w:rPr>
                <w:sz w:val="20"/>
              </w:rPr>
            </w:pPr>
            <w:r w:rsidRPr="008C1A5D">
              <w:rPr>
                <w:sz w:val="20"/>
              </w:rPr>
              <w:t>This gives a predicted area for each type of office workplace.</w:t>
            </w:r>
          </w:p>
        </w:tc>
      </w:tr>
    </w:tbl>
    <w:p w:rsidR="004D17D6" w:rsidRDefault="004D17D6" w:rsidP="009506D4"/>
    <w:p w:rsidR="004D17D6" w:rsidRDefault="004D17D6" w:rsidP="004563CC">
      <w:pPr>
        <w:pStyle w:val="Heading4"/>
        <w:spacing w:before="0"/>
      </w:pPr>
      <w:r>
        <w:t>R</w:t>
      </w:r>
      <w:r w:rsidRPr="008A7610">
        <w:t>esearch areas</w:t>
      </w:r>
    </w:p>
    <w:p w:rsidR="004D17D6" w:rsidRDefault="004D17D6" w:rsidP="004563CC">
      <w:pPr>
        <w:keepNext/>
      </w:pPr>
      <w:r w:rsidRPr="008A7610">
        <w:t>In some examples, rows 55-57 provide for an allowance to give an indication of needs for research space in addition to the office working area for staff and research students. This is a starting point only.</w:t>
      </w:r>
    </w:p>
    <w:p w:rsidR="004D17D6" w:rsidRDefault="004D17D6" w:rsidP="004563CC">
      <w:pPr>
        <w:keepNext/>
      </w:pPr>
      <w:r w:rsidRPr="008A7610">
        <w:t>The key inputs to be considered are as follows:</w:t>
      </w:r>
    </w:p>
    <w:p w:rsidR="004D17D6" w:rsidRDefault="004D17D6" w:rsidP="004563CC">
      <w:pPr>
        <w:keepNext/>
      </w:pPr>
    </w:p>
    <w:tbl>
      <w:tblPr>
        <w:tblW w:w="0" w:type="auto"/>
        <w:tblLayout w:type="fixed"/>
        <w:tblLook w:val="0000" w:firstRow="0" w:lastRow="0" w:firstColumn="0" w:lastColumn="0" w:noHBand="0" w:noVBand="0"/>
      </w:tblPr>
      <w:tblGrid>
        <w:gridCol w:w="1101"/>
        <w:gridCol w:w="1701"/>
        <w:gridCol w:w="5003"/>
      </w:tblGrid>
      <w:tr w:rsidR="004D17D6" w:rsidRPr="00E56C7E" w:rsidTr="004F2E1F">
        <w:trPr>
          <w:cantSplit/>
          <w:tblHeader/>
        </w:trPr>
        <w:tc>
          <w:tcPr>
            <w:tcW w:w="7805" w:type="dxa"/>
            <w:gridSpan w:val="3"/>
            <w:tcBorders>
              <w:top w:val="single" w:sz="4" w:space="0" w:color="808080"/>
              <w:left w:val="single" w:sz="4" w:space="0" w:color="808080"/>
              <w:bottom w:val="single" w:sz="4" w:space="0" w:color="808080"/>
              <w:right w:val="single" w:sz="4" w:space="0" w:color="808080"/>
            </w:tcBorders>
            <w:shd w:val="pct10" w:color="auto" w:fill="auto"/>
          </w:tcPr>
          <w:p w:rsidR="004D17D6" w:rsidRPr="0095577D" w:rsidRDefault="004D17D6" w:rsidP="008C1A5D">
            <w:pPr>
              <w:pStyle w:val="StyleCaptionCalibriBefore14ptAfter14pt"/>
              <w:keepNext/>
            </w:pPr>
            <w:r w:rsidRPr="0095577D">
              <w:t xml:space="preserve">Table </w:t>
            </w:r>
            <w:r w:rsidR="00B975BF">
              <w:fldChar w:fldCharType="begin"/>
            </w:r>
            <w:r w:rsidR="00B975BF">
              <w:instrText xml:space="preserve"> SEQ Table \* ARABIC </w:instrText>
            </w:r>
            <w:r w:rsidR="00B975BF">
              <w:fldChar w:fldCharType="separate"/>
            </w:r>
            <w:r w:rsidR="00340977">
              <w:rPr>
                <w:noProof/>
              </w:rPr>
              <w:t>4</w:t>
            </w:r>
            <w:r w:rsidR="00B975BF">
              <w:rPr>
                <w:noProof/>
              </w:rPr>
              <w:fldChar w:fldCharType="end"/>
            </w:r>
            <w:r w:rsidRPr="0095577D">
              <w:t xml:space="preserve">: </w:t>
            </w:r>
            <w:r>
              <w:t>Research area inputs</w:t>
            </w:r>
          </w:p>
        </w:tc>
      </w:tr>
      <w:tr w:rsidR="004D17D6" w:rsidRPr="000F38FD" w:rsidTr="004F2E1F">
        <w:trPr>
          <w:cantSplit/>
          <w:tblHeader/>
        </w:trPr>
        <w:tc>
          <w:tcPr>
            <w:tcW w:w="1101" w:type="dxa"/>
            <w:tcBorders>
              <w:top w:val="single" w:sz="4" w:space="0" w:color="808080"/>
              <w:left w:val="single" w:sz="4" w:space="0" w:color="808080"/>
              <w:bottom w:val="single" w:sz="4" w:space="0" w:color="808080"/>
            </w:tcBorders>
            <w:vAlign w:val="bottom"/>
          </w:tcPr>
          <w:p w:rsidR="004D17D6" w:rsidRPr="000F38FD" w:rsidRDefault="004D17D6" w:rsidP="004F2E1F">
            <w:pPr>
              <w:keepNext/>
              <w:jc w:val="left"/>
              <w:rPr>
                <w:b/>
              </w:rPr>
            </w:pPr>
            <w:r>
              <w:rPr>
                <w:b/>
              </w:rPr>
              <w:t>Column</w:t>
            </w:r>
          </w:p>
        </w:tc>
        <w:tc>
          <w:tcPr>
            <w:tcW w:w="1701" w:type="dxa"/>
            <w:tcBorders>
              <w:top w:val="single" w:sz="4" w:space="0" w:color="808080"/>
              <w:bottom w:val="single" w:sz="4" w:space="0" w:color="808080"/>
            </w:tcBorders>
            <w:vAlign w:val="bottom"/>
          </w:tcPr>
          <w:p w:rsidR="004D17D6" w:rsidRPr="000F38FD" w:rsidRDefault="004D17D6" w:rsidP="004F2E1F">
            <w:pPr>
              <w:keepNext/>
              <w:jc w:val="left"/>
              <w:rPr>
                <w:b/>
              </w:rPr>
            </w:pPr>
            <w:r>
              <w:rPr>
                <w:b/>
              </w:rPr>
              <w:t>Input data</w:t>
            </w:r>
          </w:p>
        </w:tc>
        <w:tc>
          <w:tcPr>
            <w:tcW w:w="5003" w:type="dxa"/>
            <w:tcBorders>
              <w:top w:val="single" w:sz="4" w:space="0" w:color="808080"/>
              <w:bottom w:val="single" w:sz="4" w:space="0" w:color="808080"/>
              <w:right w:val="single" w:sz="4" w:space="0" w:color="808080"/>
            </w:tcBorders>
            <w:vAlign w:val="bottom"/>
          </w:tcPr>
          <w:p w:rsidR="004D17D6" w:rsidRPr="000F38FD" w:rsidRDefault="004D17D6" w:rsidP="004F2E1F">
            <w:pPr>
              <w:keepNext/>
              <w:jc w:val="left"/>
              <w:rPr>
                <w:b/>
              </w:rPr>
            </w:pPr>
            <w:r>
              <w:rPr>
                <w:b/>
              </w:rPr>
              <w:t>Comment</w:t>
            </w:r>
          </w:p>
        </w:tc>
      </w:tr>
      <w:tr w:rsidR="004D17D6" w:rsidRPr="000F38FD" w:rsidTr="004F2E1F">
        <w:trPr>
          <w:cantSplit/>
        </w:trPr>
        <w:tc>
          <w:tcPr>
            <w:tcW w:w="1101" w:type="dxa"/>
            <w:tcBorders>
              <w:top w:val="single" w:sz="4" w:space="0" w:color="808080"/>
              <w:left w:val="single" w:sz="4" w:space="0" w:color="808080"/>
            </w:tcBorders>
          </w:tcPr>
          <w:p w:rsidR="004D17D6" w:rsidRPr="008C1A5D" w:rsidRDefault="004D17D6" w:rsidP="004F2E1F">
            <w:pPr>
              <w:keepNext/>
              <w:jc w:val="left"/>
              <w:rPr>
                <w:sz w:val="20"/>
              </w:rPr>
            </w:pPr>
            <w:r w:rsidRPr="008C1A5D">
              <w:rPr>
                <w:sz w:val="20"/>
              </w:rPr>
              <w:t>A</w:t>
            </w:r>
          </w:p>
        </w:tc>
        <w:tc>
          <w:tcPr>
            <w:tcW w:w="1701" w:type="dxa"/>
            <w:tcBorders>
              <w:top w:val="single" w:sz="4" w:space="0" w:color="808080"/>
            </w:tcBorders>
          </w:tcPr>
          <w:p w:rsidR="004D17D6" w:rsidRPr="008C1A5D" w:rsidRDefault="004D17D6" w:rsidP="008C1A5D">
            <w:pPr>
              <w:keepNext/>
              <w:jc w:val="left"/>
              <w:rPr>
                <w:sz w:val="20"/>
              </w:rPr>
            </w:pPr>
            <w:r w:rsidRPr="008C1A5D">
              <w:rPr>
                <w:sz w:val="20"/>
              </w:rPr>
              <w:t>Research areas per member of staff and research students.</w:t>
            </w:r>
          </w:p>
        </w:tc>
        <w:tc>
          <w:tcPr>
            <w:tcW w:w="5003" w:type="dxa"/>
            <w:tcBorders>
              <w:top w:val="single" w:sz="4" w:space="0" w:color="808080"/>
              <w:right w:val="single" w:sz="4" w:space="0" w:color="808080"/>
            </w:tcBorders>
          </w:tcPr>
          <w:p w:rsidR="004D17D6" w:rsidRPr="008C1A5D" w:rsidRDefault="004D17D6" w:rsidP="004F2E1F">
            <w:pPr>
              <w:keepNext/>
              <w:jc w:val="left"/>
              <w:rPr>
                <w:sz w:val="20"/>
              </w:rPr>
            </w:pPr>
            <w:r>
              <w:rPr>
                <w:sz w:val="20"/>
              </w:rPr>
              <w:t>HEIs</w:t>
            </w:r>
            <w:r w:rsidRPr="008C1A5D">
              <w:rPr>
                <w:sz w:val="20"/>
              </w:rPr>
              <w:t xml:space="preserve"> need to decide whether there is a need for a research area for staff and research students in addition to their office workplace. The examples include these for Science and Engineering disciplines. It may be appropriate for other subjects as well.</w:t>
            </w:r>
          </w:p>
        </w:tc>
      </w:tr>
      <w:tr w:rsidR="004D17D6" w:rsidRPr="000F38FD" w:rsidTr="004F2E1F">
        <w:trPr>
          <w:cantSplit/>
        </w:trPr>
        <w:tc>
          <w:tcPr>
            <w:tcW w:w="1101" w:type="dxa"/>
            <w:tcBorders>
              <w:left w:val="single" w:sz="4" w:space="0" w:color="808080"/>
            </w:tcBorders>
          </w:tcPr>
          <w:p w:rsidR="004D17D6" w:rsidRPr="008C1A5D" w:rsidRDefault="004D17D6" w:rsidP="004F2E1F">
            <w:pPr>
              <w:keepNext/>
              <w:jc w:val="left"/>
              <w:rPr>
                <w:sz w:val="20"/>
              </w:rPr>
            </w:pPr>
            <w:r w:rsidRPr="008C1A5D">
              <w:rPr>
                <w:sz w:val="20"/>
              </w:rPr>
              <w:t>B</w:t>
            </w:r>
          </w:p>
        </w:tc>
        <w:tc>
          <w:tcPr>
            <w:tcW w:w="1701" w:type="dxa"/>
          </w:tcPr>
          <w:p w:rsidR="004D17D6" w:rsidRPr="008C1A5D" w:rsidRDefault="004D17D6" w:rsidP="004F2E1F">
            <w:pPr>
              <w:keepNext/>
              <w:jc w:val="left"/>
              <w:rPr>
                <w:sz w:val="20"/>
              </w:rPr>
            </w:pPr>
            <w:r w:rsidRPr="008C1A5D">
              <w:rPr>
                <w:sz w:val="20"/>
              </w:rPr>
              <w:t>Area allowance per member of staff and research student.</w:t>
            </w:r>
          </w:p>
        </w:tc>
        <w:tc>
          <w:tcPr>
            <w:tcW w:w="5003" w:type="dxa"/>
            <w:tcBorders>
              <w:right w:val="single" w:sz="4" w:space="0" w:color="808080"/>
            </w:tcBorders>
          </w:tcPr>
          <w:p w:rsidR="004D17D6" w:rsidRPr="008C1A5D" w:rsidRDefault="004D17D6" w:rsidP="00A02926">
            <w:pPr>
              <w:keepNext/>
              <w:jc w:val="left"/>
              <w:rPr>
                <w:sz w:val="20"/>
              </w:rPr>
            </w:pPr>
            <w:r w:rsidRPr="008C1A5D">
              <w:rPr>
                <w:sz w:val="20"/>
              </w:rPr>
              <w:t xml:space="preserve">This is an allowance (NIA m2) per research active person. This varies widely in practice, and HEIs will need to decide </w:t>
            </w:r>
            <w:r>
              <w:rPr>
                <w:sz w:val="20"/>
              </w:rPr>
              <w:t xml:space="preserve">for themselves </w:t>
            </w:r>
            <w:r w:rsidRPr="008C1A5D">
              <w:rPr>
                <w:sz w:val="20"/>
              </w:rPr>
              <w:t>what appropriate basis to use as a guide.</w:t>
            </w:r>
          </w:p>
        </w:tc>
      </w:tr>
      <w:tr w:rsidR="004D17D6" w:rsidRPr="000F38FD" w:rsidTr="004F2E1F">
        <w:trPr>
          <w:cantSplit/>
        </w:trPr>
        <w:tc>
          <w:tcPr>
            <w:tcW w:w="1101" w:type="dxa"/>
            <w:tcBorders>
              <w:left w:val="single" w:sz="4" w:space="0" w:color="808080"/>
            </w:tcBorders>
          </w:tcPr>
          <w:p w:rsidR="004D17D6" w:rsidRPr="008C1A5D" w:rsidRDefault="004D17D6" w:rsidP="004F2E1F">
            <w:pPr>
              <w:keepNext/>
              <w:jc w:val="left"/>
              <w:rPr>
                <w:sz w:val="20"/>
              </w:rPr>
            </w:pPr>
            <w:r w:rsidRPr="008C1A5D">
              <w:rPr>
                <w:sz w:val="20"/>
              </w:rPr>
              <w:t>C</w:t>
            </w:r>
          </w:p>
        </w:tc>
        <w:tc>
          <w:tcPr>
            <w:tcW w:w="1701" w:type="dxa"/>
          </w:tcPr>
          <w:p w:rsidR="004D17D6" w:rsidRPr="008C1A5D" w:rsidRDefault="004D17D6" w:rsidP="008C1A5D">
            <w:pPr>
              <w:keepNext/>
              <w:jc w:val="left"/>
              <w:rPr>
                <w:sz w:val="20"/>
              </w:rPr>
            </w:pPr>
            <w:r w:rsidRPr="008C1A5D">
              <w:rPr>
                <w:sz w:val="20"/>
              </w:rPr>
              <w:t>Number of staff and research students.</w:t>
            </w:r>
          </w:p>
          <w:p w:rsidR="004D17D6" w:rsidRPr="008C1A5D" w:rsidRDefault="004D17D6" w:rsidP="008C1A5D">
            <w:pPr>
              <w:keepNext/>
              <w:jc w:val="left"/>
              <w:rPr>
                <w:sz w:val="20"/>
              </w:rPr>
            </w:pPr>
          </w:p>
        </w:tc>
        <w:tc>
          <w:tcPr>
            <w:tcW w:w="5003" w:type="dxa"/>
            <w:tcBorders>
              <w:right w:val="single" w:sz="4" w:space="0" w:color="808080"/>
            </w:tcBorders>
          </w:tcPr>
          <w:p w:rsidR="004D17D6" w:rsidRPr="008C1A5D" w:rsidRDefault="004D17D6" w:rsidP="004F2E1F">
            <w:pPr>
              <w:keepNext/>
              <w:jc w:val="left"/>
              <w:rPr>
                <w:sz w:val="20"/>
              </w:rPr>
            </w:pPr>
            <w:r w:rsidRPr="008C1A5D">
              <w:rPr>
                <w:sz w:val="20"/>
              </w:rPr>
              <w:t>This is the number of research active staff and students who require space for research in addition to their office workplace.</w:t>
            </w:r>
          </w:p>
        </w:tc>
      </w:tr>
      <w:tr w:rsidR="004D17D6" w:rsidRPr="000F38FD" w:rsidTr="004F2E1F">
        <w:trPr>
          <w:cantSplit/>
        </w:trPr>
        <w:tc>
          <w:tcPr>
            <w:tcW w:w="1101" w:type="dxa"/>
            <w:tcBorders>
              <w:left w:val="single" w:sz="4" w:space="0" w:color="808080"/>
              <w:bottom w:val="single" w:sz="4" w:space="0" w:color="808080"/>
            </w:tcBorders>
          </w:tcPr>
          <w:p w:rsidR="004D17D6" w:rsidRPr="008C1A5D" w:rsidRDefault="004D17D6" w:rsidP="004F2E1F">
            <w:pPr>
              <w:keepNext/>
              <w:jc w:val="left"/>
              <w:rPr>
                <w:sz w:val="20"/>
              </w:rPr>
            </w:pPr>
            <w:r w:rsidRPr="008C1A5D">
              <w:rPr>
                <w:sz w:val="20"/>
              </w:rPr>
              <w:t>D</w:t>
            </w:r>
          </w:p>
        </w:tc>
        <w:tc>
          <w:tcPr>
            <w:tcW w:w="1701" w:type="dxa"/>
            <w:tcBorders>
              <w:bottom w:val="single" w:sz="4" w:space="0" w:color="808080"/>
            </w:tcBorders>
          </w:tcPr>
          <w:p w:rsidR="004D17D6" w:rsidRPr="008C1A5D" w:rsidRDefault="004D17D6" w:rsidP="004F2E1F">
            <w:pPr>
              <w:keepNext/>
              <w:jc w:val="left"/>
              <w:rPr>
                <w:sz w:val="20"/>
              </w:rPr>
            </w:pPr>
            <w:r>
              <w:rPr>
                <w:sz w:val="20"/>
              </w:rPr>
              <w:t xml:space="preserve">Area predicted </w:t>
            </w:r>
            <w:r w:rsidRPr="008C1A5D">
              <w:rPr>
                <w:sz w:val="20"/>
              </w:rPr>
              <w:t xml:space="preserve">(m²) </w:t>
            </w:r>
          </w:p>
        </w:tc>
        <w:tc>
          <w:tcPr>
            <w:tcW w:w="5003" w:type="dxa"/>
            <w:tcBorders>
              <w:bottom w:val="single" w:sz="4" w:space="0" w:color="808080"/>
              <w:right w:val="single" w:sz="4" w:space="0" w:color="808080"/>
            </w:tcBorders>
          </w:tcPr>
          <w:p w:rsidR="004D17D6" w:rsidRPr="008C1A5D" w:rsidRDefault="004D17D6" w:rsidP="004F2E1F">
            <w:pPr>
              <w:keepNext/>
              <w:jc w:val="left"/>
              <w:rPr>
                <w:sz w:val="20"/>
              </w:rPr>
            </w:pPr>
            <w:r w:rsidRPr="008C1A5D">
              <w:rPr>
                <w:sz w:val="20"/>
              </w:rPr>
              <w:t>This is generated by Column B and Column D.</w:t>
            </w:r>
          </w:p>
        </w:tc>
      </w:tr>
    </w:tbl>
    <w:p w:rsidR="004D17D6" w:rsidRDefault="004D17D6" w:rsidP="008C1A5D"/>
    <w:p w:rsidR="004D17D6" w:rsidRDefault="004D17D6" w:rsidP="00C538E0">
      <w:pPr>
        <w:pStyle w:val="Heading4"/>
      </w:pPr>
      <w:r>
        <w:t>O</w:t>
      </w:r>
      <w:r w:rsidRPr="008A7610">
        <w:t>ther types of space</w:t>
      </w:r>
    </w:p>
    <w:p w:rsidR="004D17D6" w:rsidRDefault="004D17D6" w:rsidP="003F5017">
      <w:r w:rsidRPr="008A7610">
        <w:t xml:space="preserve">Meeting rooms: The space predicted for meeting rooms is a function of the number of meeting room workplaces required multiplied by an area per workplace. </w:t>
      </w:r>
    </w:p>
    <w:p w:rsidR="004D17D6" w:rsidRDefault="004D17D6" w:rsidP="003F5017">
      <w:r w:rsidRPr="008A7610">
        <w:t xml:space="preserve">Office ancillary spaces: The framework includes scope for </w:t>
      </w:r>
      <w:r>
        <w:t xml:space="preserve">HEIs </w:t>
      </w:r>
      <w:r w:rsidRPr="008A7610">
        <w:t xml:space="preserve">to include other office-related spaces if </w:t>
      </w:r>
      <w:r>
        <w:t>desired</w:t>
      </w:r>
      <w:r w:rsidRPr="008A7610">
        <w:t>, such as reception areas, although at this stage no default coefficients are supplied.</w:t>
      </w:r>
    </w:p>
    <w:p w:rsidR="004D17D6" w:rsidRDefault="004D17D6" w:rsidP="003F5017">
      <w:r w:rsidRPr="008A7610">
        <w:t>Additional types of space:  There is provision to include areas needed for specialist equipment, resource and social or collaborative learning areas. The list of space types in the examples is not exhaustive. The existing ones can be replaced or other types added in as HEIs consider appropriate for their own circumstances.</w:t>
      </w:r>
    </w:p>
    <w:p w:rsidR="004D17D6" w:rsidRDefault="004D17D6" w:rsidP="00A02926"/>
    <w:p w:rsidR="004D17D6" w:rsidRPr="00A02926" w:rsidRDefault="004D17D6" w:rsidP="00A02926">
      <w:pPr>
        <w:sectPr w:rsidR="004D17D6" w:rsidRPr="00A02926" w:rsidSect="007237EA">
          <w:pgSz w:w="11909" w:h="16834" w:code="9"/>
          <w:pgMar w:top="1872" w:right="2160" w:bottom="1872" w:left="2160" w:header="864" w:footer="864" w:gutter="0"/>
          <w:paperSrc w:first="15" w:other="15"/>
          <w:cols w:space="720"/>
          <w:docGrid w:linePitch="299"/>
        </w:sectPr>
      </w:pPr>
    </w:p>
    <w:p w:rsidR="004D17D6" w:rsidRDefault="004D17D6" w:rsidP="00C538E0">
      <w:pPr>
        <w:pStyle w:val="Heading1"/>
      </w:pPr>
      <w:bookmarkStart w:id="8" w:name="_Toc257210537"/>
      <w:r w:rsidRPr="008A7610">
        <w:t>Building up the support space profile</w:t>
      </w:r>
      <w:bookmarkEnd w:id="8"/>
    </w:p>
    <w:p w:rsidR="004D17D6" w:rsidRDefault="004D17D6" w:rsidP="003F5017">
      <w:r w:rsidRPr="008A7610">
        <w:t xml:space="preserve">Support space comprises between 25 to 30 per cent of net non-residential space. It includes a wide range of types of space, including libraries and learning centres, sports, catering, social areas and central administration. Because most of these do not easily fit into the method described above for developing academic space profiles, this guide outlines a different approach for many of the main components of support space summarised in </w:t>
      </w:r>
      <w:r w:rsidR="00047E09">
        <w:fldChar w:fldCharType="begin"/>
      </w:r>
      <w:r>
        <w:instrText xml:space="preserve"> REF _Ref254194067 \h </w:instrText>
      </w:r>
      <w:r w:rsidR="00047E09">
        <w:fldChar w:fldCharType="separate"/>
      </w:r>
      <w:r w:rsidR="00340977" w:rsidRPr="0095577D">
        <w:t xml:space="preserve">Table </w:t>
      </w:r>
      <w:r w:rsidR="00340977">
        <w:rPr>
          <w:noProof/>
        </w:rPr>
        <w:t>5</w:t>
      </w:r>
      <w:r w:rsidR="00047E09">
        <w:fldChar w:fldCharType="end"/>
      </w:r>
      <w:r w:rsidRPr="008A7610">
        <w:t xml:space="preserve"> using EMS ratios where available.</w:t>
      </w:r>
    </w:p>
    <w:p w:rsidR="004D17D6" w:rsidRDefault="004D17D6" w:rsidP="00B268EA"/>
    <w:tbl>
      <w:tblPr>
        <w:tblW w:w="0" w:type="auto"/>
        <w:tblLayout w:type="fixed"/>
        <w:tblLook w:val="0000" w:firstRow="0" w:lastRow="0" w:firstColumn="0" w:lastColumn="0" w:noHBand="0" w:noVBand="0"/>
      </w:tblPr>
      <w:tblGrid>
        <w:gridCol w:w="2943"/>
        <w:gridCol w:w="567"/>
        <w:gridCol w:w="567"/>
        <w:gridCol w:w="567"/>
        <w:gridCol w:w="3161"/>
      </w:tblGrid>
      <w:tr w:rsidR="004D17D6" w:rsidRPr="00E56C7E" w:rsidTr="00B268EA">
        <w:trPr>
          <w:cantSplit/>
          <w:tblHeader/>
        </w:trPr>
        <w:tc>
          <w:tcPr>
            <w:tcW w:w="7805" w:type="dxa"/>
            <w:gridSpan w:val="5"/>
            <w:tcBorders>
              <w:top w:val="single" w:sz="4" w:space="0" w:color="808080"/>
              <w:left w:val="single" w:sz="4" w:space="0" w:color="808080"/>
              <w:bottom w:val="single" w:sz="4" w:space="0" w:color="808080"/>
              <w:right w:val="single" w:sz="4" w:space="0" w:color="808080"/>
            </w:tcBorders>
            <w:shd w:val="pct10" w:color="auto" w:fill="auto"/>
          </w:tcPr>
          <w:p w:rsidR="004D17D6" w:rsidRPr="0095577D" w:rsidRDefault="004D17D6" w:rsidP="00B268EA">
            <w:pPr>
              <w:pStyle w:val="StyleCaptionCalibriBefore14ptAfter14pt"/>
              <w:keepNext/>
            </w:pPr>
            <w:bookmarkStart w:id="9" w:name="_Ref254194067"/>
            <w:r w:rsidRPr="0095577D">
              <w:t xml:space="preserve">Table </w:t>
            </w:r>
            <w:r w:rsidR="00B975BF">
              <w:fldChar w:fldCharType="begin"/>
            </w:r>
            <w:r w:rsidR="00B975BF">
              <w:instrText xml:space="preserve"> SEQ Table \* ARABIC </w:instrText>
            </w:r>
            <w:r w:rsidR="00B975BF">
              <w:fldChar w:fldCharType="separate"/>
            </w:r>
            <w:r w:rsidR="00340977">
              <w:rPr>
                <w:noProof/>
              </w:rPr>
              <w:t>5</w:t>
            </w:r>
            <w:r w:rsidR="00B975BF">
              <w:rPr>
                <w:noProof/>
              </w:rPr>
              <w:fldChar w:fldCharType="end"/>
            </w:r>
            <w:bookmarkEnd w:id="9"/>
            <w:r w:rsidRPr="0095577D">
              <w:t xml:space="preserve">: </w:t>
            </w:r>
            <w:r w:rsidRPr="008A7610">
              <w:t>Building up the support space profile</w:t>
            </w:r>
          </w:p>
        </w:tc>
      </w:tr>
      <w:tr w:rsidR="004D17D6" w:rsidRPr="000F38FD" w:rsidTr="00B268EA">
        <w:trPr>
          <w:cantSplit/>
          <w:tblHeader/>
        </w:trPr>
        <w:tc>
          <w:tcPr>
            <w:tcW w:w="2943" w:type="dxa"/>
            <w:tcBorders>
              <w:top w:val="single" w:sz="4" w:space="0" w:color="808080"/>
              <w:left w:val="single" w:sz="4" w:space="0" w:color="808080"/>
              <w:bottom w:val="single" w:sz="4" w:space="0" w:color="808080"/>
            </w:tcBorders>
          </w:tcPr>
          <w:p w:rsidR="004D17D6" w:rsidRPr="00B268EA" w:rsidRDefault="004D17D6" w:rsidP="00B268EA">
            <w:pPr>
              <w:keepNext/>
              <w:jc w:val="left"/>
              <w:rPr>
                <w:b/>
              </w:rPr>
            </w:pPr>
            <w:r w:rsidRPr="00B268EA">
              <w:rPr>
                <w:b/>
              </w:rPr>
              <w:t>Support space category</w:t>
            </w:r>
          </w:p>
        </w:tc>
        <w:tc>
          <w:tcPr>
            <w:tcW w:w="1701" w:type="dxa"/>
            <w:gridSpan w:val="3"/>
            <w:tcBorders>
              <w:top w:val="single" w:sz="4" w:space="0" w:color="808080"/>
              <w:bottom w:val="single" w:sz="4" w:space="0" w:color="808080"/>
            </w:tcBorders>
          </w:tcPr>
          <w:p w:rsidR="004D17D6" w:rsidRPr="00B268EA" w:rsidRDefault="004D17D6" w:rsidP="00B268EA">
            <w:pPr>
              <w:keepNext/>
              <w:jc w:val="left"/>
              <w:rPr>
                <w:b/>
              </w:rPr>
            </w:pPr>
            <w:r w:rsidRPr="00B268EA">
              <w:rPr>
                <w:b/>
              </w:rPr>
              <w:t>EMS 2009 data</w:t>
            </w:r>
          </w:p>
        </w:tc>
        <w:tc>
          <w:tcPr>
            <w:tcW w:w="3161" w:type="dxa"/>
            <w:tcBorders>
              <w:top w:val="single" w:sz="4" w:space="0" w:color="808080"/>
              <w:bottom w:val="single" w:sz="4" w:space="0" w:color="808080"/>
              <w:right w:val="single" w:sz="4" w:space="0" w:color="808080"/>
            </w:tcBorders>
          </w:tcPr>
          <w:p w:rsidR="004D17D6" w:rsidRPr="00B268EA" w:rsidRDefault="004D17D6" w:rsidP="00B268EA">
            <w:pPr>
              <w:keepNext/>
              <w:jc w:val="left"/>
              <w:rPr>
                <w:b/>
              </w:rPr>
            </w:pPr>
            <w:r w:rsidRPr="00B268EA">
              <w:rPr>
                <w:b/>
              </w:rPr>
              <w:t>Approach</w:t>
            </w:r>
          </w:p>
        </w:tc>
      </w:tr>
      <w:tr w:rsidR="004D17D6" w:rsidRPr="000F38FD" w:rsidTr="00B268EA">
        <w:trPr>
          <w:cantSplit/>
        </w:trPr>
        <w:tc>
          <w:tcPr>
            <w:tcW w:w="2943" w:type="dxa"/>
            <w:tcBorders>
              <w:top w:val="single" w:sz="4" w:space="0" w:color="808080"/>
              <w:left w:val="single" w:sz="4" w:space="0" w:color="808080"/>
            </w:tcBorders>
          </w:tcPr>
          <w:p w:rsidR="004D17D6" w:rsidRPr="008C1A5D" w:rsidRDefault="004D17D6" w:rsidP="00B268EA">
            <w:pPr>
              <w:keepNext/>
              <w:jc w:val="left"/>
              <w:rPr>
                <w:sz w:val="20"/>
              </w:rPr>
            </w:pPr>
          </w:p>
        </w:tc>
        <w:tc>
          <w:tcPr>
            <w:tcW w:w="567" w:type="dxa"/>
            <w:tcBorders>
              <w:top w:val="single" w:sz="4" w:space="0" w:color="808080"/>
            </w:tcBorders>
          </w:tcPr>
          <w:p w:rsidR="004D17D6" w:rsidRPr="00B268EA" w:rsidRDefault="004D17D6" w:rsidP="00B268EA">
            <w:pPr>
              <w:rPr>
                <w:sz w:val="20"/>
              </w:rPr>
            </w:pPr>
            <w:r w:rsidRPr="00B268EA">
              <w:rPr>
                <w:sz w:val="20"/>
              </w:rPr>
              <w:t>25%</w:t>
            </w:r>
          </w:p>
        </w:tc>
        <w:tc>
          <w:tcPr>
            <w:tcW w:w="567" w:type="dxa"/>
            <w:tcBorders>
              <w:top w:val="single" w:sz="4" w:space="0" w:color="808080"/>
            </w:tcBorders>
          </w:tcPr>
          <w:p w:rsidR="004D17D6" w:rsidRPr="00B268EA" w:rsidRDefault="004D17D6" w:rsidP="00B268EA">
            <w:pPr>
              <w:rPr>
                <w:sz w:val="20"/>
              </w:rPr>
            </w:pPr>
            <w:r w:rsidRPr="00B268EA">
              <w:rPr>
                <w:sz w:val="20"/>
              </w:rPr>
              <w:t>50%</w:t>
            </w:r>
          </w:p>
        </w:tc>
        <w:tc>
          <w:tcPr>
            <w:tcW w:w="567" w:type="dxa"/>
            <w:tcBorders>
              <w:top w:val="single" w:sz="4" w:space="0" w:color="808080"/>
            </w:tcBorders>
          </w:tcPr>
          <w:p w:rsidR="004D17D6" w:rsidRPr="00B268EA" w:rsidRDefault="004D17D6" w:rsidP="00B268EA">
            <w:pPr>
              <w:rPr>
                <w:sz w:val="20"/>
              </w:rPr>
            </w:pPr>
            <w:r w:rsidRPr="00B268EA">
              <w:rPr>
                <w:sz w:val="20"/>
              </w:rPr>
              <w:t>75%</w:t>
            </w:r>
          </w:p>
        </w:tc>
        <w:tc>
          <w:tcPr>
            <w:tcW w:w="3161" w:type="dxa"/>
            <w:tcBorders>
              <w:top w:val="single" w:sz="4" w:space="0" w:color="808080"/>
              <w:right w:val="single" w:sz="4" w:space="0" w:color="808080"/>
            </w:tcBorders>
          </w:tcPr>
          <w:p w:rsidR="004D17D6" w:rsidRPr="008C1A5D" w:rsidRDefault="004D17D6" w:rsidP="00B268EA">
            <w:pPr>
              <w:keepNext/>
              <w:jc w:val="left"/>
              <w:rPr>
                <w:sz w:val="20"/>
              </w:rPr>
            </w:pPr>
          </w:p>
        </w:tc>
      </w:tr>
      <w:tr w:rsidR="004D17D6" w:rsidRPr="000F38FD" w:rsidTr="00B268EA">
        <w:trPr>
          <w:cantSplit/>
        </w:trPr>
        <w:tc>
          <w:tcPr>
            <w:tcW w:w="2943" w:type="dxa"/>
            <w:tcBorders>
              <w:left w:val="single" w:sz="4" w:space="0" w:color="808080"/>
            </w:tcBorders>
          </w:tcPr>
          <w:p w:rsidR="004D17D6" w:rsidRPr="00B268EA" w:rsidRDefault="004D17D6" w:rsidP="00B268EA">
            <w:pPr>
              <w:keepNext/>
              <w:jc w:val="left"/>
              <w:rPr>
                <w:sz w:val="20"/>
              </w:rPr>
            </w:pPr>
            <w:r w:rsidRPr="00B268EA">
              <w:rPr>
                <w:sz w:val="20"/>
              </w:rPr>
              <w:t>Total support space per student FTE (NIA m2)</w:t>
            </w:r>
          </w:p>
        </w:tc>
        <w:tc>
          <w:tcPr>
            <w:tcW w:w="567" w:type="dxa"/>
          </w:tcPr>
          <w:p w:rsidR="004D17D6" w:rsidRPr="00B268EA" w:rsidRDefault="004D17D6" w:rsidP="00B268EA">
            <w:pPr>
              <w:keepNext/>
              <w:jc w:val="left"/>
              <w:rPr>
                <w:sz w:val="20"/>
              </w:rPr>
            </w:pPr>
            <w:r w:rsidRPr="00B268EA">
              <w:rPr>
                <w:sz w:val="20"/>
              </w:rPr>
              <w:t>1.6</w:t>
            </w:r>
          </w:p>
        </w:tc>
        <w:tc>
          <w:tcPr>
            <w:tcW w:w="567" w:type="dxa"/>
          </w:tcPr>
          <w:p w:rsidR="004D17D6" w:rsidRPr="00B268EA" w:rsidRDefault="004D17D6" w:rsidP="00B268EA">
            <w:pPr>
              <w:keepNext/>
              <w:jc w:val="left"/>
              <w:rPr>
                <w:sz w:val="20"/>
              </w:rPr>
            </w:pPr>
            <w:r w:rsidRPr="00B268EA">
              <w:rPr>
                <w:sz w:val="20"/>
              </w:rPr>
              <w:t>2.2</w:t>
            </w:r>
          </w:p>
        </w:tc>
        <w:tc>
          <w:tcPr>
            <w:tcW w:w="567" w:type="dxa"/>
          </w:tcPr>
          <w:p w:rsidR="004D17D6" w:rsidRPr="00B268EA" w:rsidRDefault="004D17D6" w:rsidP="00B268EA">
            <w:pPr>
              <w:keepNext/>
              <w:jc w:val="left"/>
              <w:rPr>
                <w:sz w:val="20"/>
              </w:rPr>
            </w:pPr>
            <w:r w:rsidRPr="00B268EA">
              <w:rPr>
                <w:sz w:val="20"/>
              </w:rPr>
              <w:t>3.0</w:t>
            </w:r>
          </w:p>
        </w:tc>
        <w:tc>
          <w:tcPr>
            <w:tcW w:w="3161" w:type="dxa"/>
            <w:tcBorders>
              <w:right w:val="single" w:sz="4" w:space="0" w:color="808080"/>
            </w:tcBorders>
          </w:tcPr>
          <w:p w:rsidR="004D17D6" w:rsidRPr="00B268EA" w:rsidRDefault="004D17D6" w:rsidP="00B268EA">
            <w:pPr>
              <w:keepNext/>
              <w:jc w:val="left"/>
              <w:rPr>
                <w:sz w:val="20"/>
              </w:rPr>
            </w:pPr>
          </w:p>
        </w:tc>
      </w:tr>
      <w:tr w:rsidR="004D17D6" w:rsidRPr="000F38FD" w:rsidTr="00B268EA">
        <w:trPr>
          <w:cantSplit/>
        </w:trPr>
        <w:tc>
          <w:tcPr>
            <w:tcW w:w="2943" w:type="dxa"/>
            <w:tcBorders>
              <w:left w:val="single" w:sz="4" w:space="0" w:color="808080"/>
            </w:tcBorders>
          </w:tcPr>
          <w:p w:rsidR="004D17D6" w:rsidRPr="00B268EA" w:rsidRDefault="004D17D6" w:rsidP="00B268EA">
            <w:pPr>
              <w:keepNext/>
              <w:jc w:val="left"/>
              <w:rPr>
                <w:sz w:val="20"/>
              </w:rPr>
            </w:pPr>
            <w:r w:rsidRPr="00B268EA">
              <w:rPr>
                <w:sz w:val="20"/>
              </w:rPr>
              <w:t>Library/learning centre space per student FTE (NIA m2)</w:t>
            </w:r>
          </w:p>
        </w:tc>
        <w:tc>
          <w:tcPr>
            <w:tcW w:w="567" w:type="dxa"/>
          </w:tcPr>
          <w:p w:rsidR="004D17D6" w:rsidRPr="00B268EA" w:rsidRDefault="004D17D6" w:rsidP="00B268EA">
            <w:pPr>
              <w:keepNext/>
              <w:jc w:val="left"/>
              <w:rPr>
                <w:sz w:val="20"/>
              </w:rPr>
            </w:pPr>
            <w:r w:rsidRPr="00B268EA">
              <w:rPr>
                <w:sz w:val="20"/>
              </w:rPr>
              <w:t>0.5</w:t>
            </w:r>
          </w:p>
        </w:tc>
        <w:tc>
          <w:tcPr>
            <w:tcW w:w="567" w:type="dxa"/>
          </w:tcPr>
          <w:p w:rsidR="004D17D6" w:rsidRPr="00B268EA" w:rsidRDefault="004D17D6" w:rsidP="00B268EA">
            <w:pPr>
              <w:keepNext/>
              <w:jc w:val="left"/>
              <w:rPr>
                <w:sz w:val="20"/>
              </w:rPr>
            </w:pPr>
            <w:r w:rsidRPr="00B268EA">
              <w:rPr>
                <w:sz w:val="20"/>
              </w:rPr>
              <w:t>0.7</w:t>
            </w:r>
          </w:p>
        </w:tc>
        <w:tc>
          <w:tcPr>
            <w:tcW w:w="567" w:type="dxa"/>
          </w:tcPr>
          <w:p w:rsidR="004D17D6" w:rsidRPr="00B268EA" w:rsidRDefault="004D17D6" w:rsidP="00B268EA">
            <w:pPr>
              <w:keepNext/>
              <w:jc w:val="left"/>
              <w:rPr>
                <w:sz w:val="20"/>
              </w:rPr>
            </w:pPr>
            <w:r w:rsidRPr="00B268EA">
              <w:rPr>
                <w:sz w:val="20"/>
              </w:rPr>
              <w:t>0.9</w:t>
            </w:r>
          </w:p>
        </w:tc>
        <w:tc>
          <w:tcPr>
            <w:tcW w:w="3161" w:type="dxa"/>
            <w:tcBorders>
              <w:right w:val="single" w:sz="4" w:space="0" w:color="808080"/>
            </w:tcBorders>
          </w:tcPr>
          <w:p w:rsidR="004D17D6" w:rsidRPr="00B268EA" w:rsidRDefault="004D17D6" w:rsidP="00B268EA">
            <w:pPr>
              <w:keepNext/>
              <w:jc w:val="left"/>
              <w:rPr>
                <w:sz w:val="20"/>
              </w:rPr>
            </w:pPr>
            <w:r w:rsidRPr="00B268EA">
              <w:rPr>
                <w:sz w:val="20"/>
              </w:rPr>
              <w:t>Use EMS/SCONUL ratios as a guide</w:t>
            </w:r>
          </w:p>
        </w:tc>
      </w:tr>
      <w:tr w:rsidR="004D17D6" w:rsidRPr="000F38FD" w:rsidTr="00B268EA">
        <w:trPr>
          <w:cantSplit/>
        </w:trPr>
        <w:tc>
          <w:tcPr>
            <w:tcW w:w="2943" w:type="dxa"/>
            <w:tcBorders>
              <w:left w:val="single" w:sz="4" w:space="0" w:color="808080"/>
            </w:tcBorders>
          </w:tcPr>
          <w:p w:rsidR="004D17D6" w:rsidRPr="00B268EA" w:rsidRDefault="004D17D6" w:rsidP="00B268EA">
            <w:pPr>
              <w:keepNext/>
              <w:jc w:val="left"/>
              <w:rPr>
                <w:sz w:val="20"/>
              </w:rPr>
            </w:pPr>
            <w:r w:rsidRPr="00B268EA">
              <w:rPr>
                <w:sz w:val="20"/>
              </w:rPr>
              <w:t>Catering space per student FTE (NIA m2)</w:t>
            </w:r>
          </w:p>
        </w:tc>
        <w:tc>
          <w:tcPr>
            <w:tcW w:w="567" w:type="dxa"/>
          </w:tcPr>
          <w:p w:rsidR="004D17D6" w:rsidRPr="00B268EA" w:rsidRDefault="004D17D6" w:rsidP="00B268EA">
            <w:pPr>
              <w:keepNext/>
              <w:jc w:val="left"/>
              <w:rPr>
                <w:sz w:val="20"/>
              </w:rPr>
            </w:pPr>
            <w:r w:rsidRPr="00B268EA">
              <w:rPr>
                <w:sz w:val="20"/>
              </w:rPr>
              <w:t>0.2</w:t>
            </w:r>
          </w:p>
        </w:tc>
        <w:tc>
          <w:tcPr>
            <w:tcW w:w="567" w:type="dxa"/>
          </w:tcPr>
          <w:p w:rsidR="004D17D6" w:rsidRPr="00B268EA" w:rsidRDefault="004D17D6" w:rsidP="00B268EA">
            <w:pPr>
              <w:keepNext/>
              <w:jc w:val="left"/>
              <w:rPr>
                <w:sz w:val="20"/>
              </w:rPr>
            </w:pPr>
            <w:r w:rsidRPr="00B268EA">
              <w:rPr>
                <w:sz w:val="20"/>
              </w:rPr>
              <w:t>0.3</w:t>
            </w:r>
          </w:p>
        </w:tc>
        <w:tc>
          <w:tcPr>
            <w:tcW w:w="567" w:type="dxa"/>
          </w:tcPr>
          <w:p w:rsidR="004D17D6" w:rsidRPr="00B268EA" w:rsidRDefault="004D17D6" w:rsidP="00B268EA">
            <w:pPr>
              <w:keepNext/>
              <w:jc w:val="left"/>
              <w:rPr>
                <w:sz w:val="20"/>
              </w:rPr>
            </w:pPr>
            <w:r w:rsidRPr="00B268EA">
              <w:rPr>
                <w:sz w:val="20"/>
              </w:rPr>
              <w:t>0.4</w:t>
            </w:r>
          </w:p>
        </w:tc>
        <w:tc>
          <w:tcPr>
            <w:tcW w:w="3161" w:type="dxa"/>
            <w:tcBorders>
              <w:right w:val="single" w:sz="4" w:space="0" w:color="808080"/>
            </w:tcBorders>
          </w:tcPr>
          <w:p w:rsidR="004D17D6" w:rsidRPr="00B268EA" w:rsidRDefault="004D17D6" w:rsidP="00B268EA">
            <w:pPr>
              <w:keepNext/>
              <w:jc w:val="left"/>
              <w:rPr>
                <w:sz w:val="20"/>
              </w:rPr>
            </w:pPr>
            <w:r w:rsidRPr="00B268EA">
              <w:rPr>
                <w:sz w:val="20"/>
              </w:rPr>
              <w:t>Use EMS ratios as a guide</w:t>
            </w:r>
          </w:p>
        </w:tc>
      </w:tr>
      <w:tr w:rsidR="004D17D6" w:rsidRPr="000F38FD" w:rsidTr="00B268EA">
        <w:trPr>
          <w:cantSplit/>
        </w:trPr>
        <w:tc>
          <w:tcPr>
            <w:tcW w:w="2943" w:type="dxa"/>
            <w:tcBorders>
              <w:left w:val="single" w:sz="4" w:space="0" w:color="808080"/>
            </w:tcBorders>
          </w:tcPr>
          <w:p w:rsidR="004D17D6" w:rsidRPr="00B268EA" w:rsidRDefault="004D17D6" w:rsidP="00B268EA">
            <w:pPr>
              <w:keepNext/>
              <w:jc w:val="left"/>
              <w:rPr>
                <w:sz w:val="20"/>
              </w:rPr>
            </w:pPr>
            <w:r w:rsidRPr="00B268EA">
              <w:rPr>
                <w:sz w:val="20"/>
              </w:rPr>
              <w:t>Non-academic support office space per student FTE (NIAm2)</w:t>
            </w:r>
          </w:p>
        </w:tc>
        <w:tc>
          <w:tcPr>
            <w:tcW w:w="567" w:type="dxa"/>
          </w:tcPr>
          <w:p w:rsidR="004D17D6" w:rsidRPr="00157018" w:rsidRDefault="004D17D6" w:rsidP="00B268EA">
            <w:pPr>
              <w:keepNext/>
              <w:jc w:val="left"/>
              <w:rPr>
                <w:sz w:val="20"/>
              </w:rPr>
            </w:pPr>
            <w:r w:rsidRPr="00396A62">
              <w:rPr>
                <w:sz w:val="20"/>
              </w:rPr>
              <w:t>0.4</w:t>
            </w:r>
          </w:p>
        </w:tc>
        <w:tc>
          <w:tcPr>
            <w:tcW w:w="567" w:type="dxa"/>
          </w:tcPr>
          <w:p w:rsidR="004D17D6" w:rsidRPr="00157018" w:rsidRDefault="004D17D6" w:rsidP="00B268EA">
            <w:pPr>
              <w:keepNext/>
              <w:jc w:val="left"/>
              <w:rPr>
                <w:sz w:val="20"/>
              </w:rPr>
            </w:pPr>
            <w:r>
              <w:rPr>
                <w:sz w:val="20"/>
              </w:rPr>
              <w:t>0.7</w:t>
            </w:r>
          </w:p>
        </w:tc>
        <w:tc>
          <w:tcPr>
            <w:tcW w:w="567" w:type="dxa"/>
          </w:tcPr>
          <w:p w:rsidR="004D17D6" w:rsidRPr="00157018" w:rsidRDefault="004D17D6" w:rsidP="00157018">
            <w:pPr>
              <w:keepNext/>
              <w:jc w:val="left"/>
              <w:rPr>
                <w:sz w:val="20"/>
              </w:rPr>
            </w:pPr>
            <w:r>
              <w:rPr>
                <w:sz w:val="20"/>
              </w:rPr>
              <w:t>0.9</w:t>
            </w:r>
          </w:p>
        </w:tc>
        <w:tc>
          <w:tcPr>
            <w:tcW w:w="3161" w:type="dxa"/>
            <w:tcBorders>
              <w:right w:val="single" w:sz="4" w:space="0" w:color="808080"/>
            </w:tcBorders>
          </w:tcPr>
          <w:p w:rsidR="004D17D6" w:rsidRPr="00B268EA" w:rsidRDefault="004D17D6" w:rsidP="00B268EA">
            <w:pPr>
              <w:keepNext/>
              <w:jc w:val="left"/>
              <w:rPr>
                <w:sz w:val="20"/>
              </w:rPr>
            </w:pPr>
            <w:r w:rsidRPr="00B268EA">
              <w:rPr>
                <w:sz w:val="20"/>
              </w:rPr>
              <w:t>Use SAM principles to assess office space needs</w:t>
            </w:r>
          </w:p>
        </w:tc>
      </w:tr>
      <w:tr w:rsidR="004D17D6" w:rsidRPr="000F38FD" w:rsidTr="00B268EA">
        <w:trPr>
          <w:cantSplit/>
        </w:trPr>
        <w:tc>
          <w:tcPr>
            <w:tcW w:w="2943" w:type="dxa"/>
            <w:tcBorders>
              <w:left w:val="single" w:sz="4" w:space="0" w:color="808080"/>
            </w:tcBorders>
          </w:tcPr>
          <w:p w:rsidR="004D17D6" w:rsidRPr="00B268EA" w:rsidRDefault="004D17D6" w:rsidP="00157018">
            <w:pPr>
              <w:keepNext/>
              <w:jc w:val="left"/>
              <w:rPr>
                <w:sz w:val="20"/>
              </w:rPr>
            </w:pPr>
            <w:r w:rsidRPr="00B268EA">
              <w:rPr>
                <w:sz w:val="20"/>
              </w:rPr>
              <w:t>Balance of support space per student FTE (NIA m2</w:t>
            </w:r>
            <w:r w:rsidRPr="00157018">
              <w:rPr>
                <w:sz w:val="20"/>
              </w:rPr>
              <w:t xml:space="preserve">) </w:t>
            </w:r>
          </w:p>
        </w:tc>
        <w:tc>
          <w:tcPr>
            <w:tcW w:w="567" w:type="dxa"/>
          </w:tcPr>
          <w:p w:rsidR="004D17D6" w:rsidRPr="00B268EA" w:rsidRDefault="004D17D6" w:rsidP="00B268EA">
            <w:pPr>
              <w:keepNext/>
              <w:jc w:val="left"/>
              <w:rPr>
                <w:sz w:val="20"/>
              </w:rPr>
            </w:pPr>
            <w:r>
              <w:rPr>
                <w:sz w:val="20"/>
              </w:rPr>
              <w:t>0.4</w:t>
            </w:r>
          </w:p>
        </w:tc>
        <w:tc>
          <w:tcPr>
            <w:tcW w:w="567" w:type="dxa"/>
          </w:tcPr>
          <w:p w:rsidR="004D17D6" w:rsidRPr="00B268EA" w:rsidRDefault="004D17D6" w:rsidP="00B268EA">
            <w:pPr>
              <w:keepNext/>
              <w:jc w:val="left"/>
              <w:rPr>
                <w:sz w:val="20"/>
              </w:rPr>
            </w:pPr>
            <w:r>
              <w:rPr>
                <w:sz w:val="20"/>
              </w:rPr>
              <w:t>0.5</w:t>
            </w:r>
          </w:p>
        </w:tc>
        <w:tc>
          <w:tcPr>
            <w:tcW w:w="567" w:type="dxa"/>
          </w:tcPr>
          <w:p w:rsidR="004D17D6" w:rsidRPr="00B268EA" w:rsidRDefault="004D17D6" w:rsidP="00B268EA">
            <w:pPr>
              <w:keepNext/>
              <w:jc w:val="left"/>
              <w:rPr>
                <w:sz w:val="20"/>
              </w:rPr>
            </w:pPr>
            <w:r>
              <w:rPr>
                <w:sz w:val="20"/>
              </w:rPr>
              <w:t>0.8</w:t>
            </w:r>
          </w:p>
        </w:tc>
        <w:tc>
          <w:tcPr>
            <w:tcW w:w="3161" w:type="dxa"/>
            <w:tcBorders>
              <w:right w:val="single" w:sz="4" w:space="0" w:color="808080"/>
            </w:tcBorders>
          </w:tcPr>
          <w:p w:rsidR="004D17D6" w:rsidRPr="00B268EA" w:rsidRDefault="004D17D6" w:rsidP="00B268EA">
            <w:pPr>
              <w:keepNext/>
              <w:jc w:val="left"/>
              <w:rPr>
                <w:sz w:val="20"/>
              </w:rPr>
            </w:pPr>
            <w:r w:rsidRPr="00B268EA">
              <w:rPr>
                <w:sz w:val="20"/>
              </w:rPr>
              <w:t>No further breakdown available within EMS</w:t>
            </w:r>
          </w:p>
        </w:tc>
      </w:tr>
      <w:tr w:rsidR="004D17D6" w:rsidRPr="000F38FD" w:rsidTr="00B268EA">
        <w:trPr>
          <w:cantSplit/>
        </w:trPr>
        <w:tc>
          <w:tcPr>
            <w:tcW w:w="2943" w:type="dxa"/>
            <w:tcBorders>
              <w:left w:val="single" w:sz="4" w:space="0" w:color="808080"/>
              <w:bottom w:val="single" w:sz="4" w:space="0" w:color="808080"/>
            </w:tcBorders>
          </w:tcPr>
          <w:p w:rsidR="004D17D6" w:rsidRPr="00B268EA" w:rsidRDefault="004D17D6" w:rsidP="00B268EA">
            <w:pPr>
              <w:keepNext/>
              <w:jc w:val="left"/>
              <w:rPr>
                <w:sz w:val="20"/>
              </w:rPr>
            </w:pPr>
            <w:r w:rsidRPr="00B268EA">
              <w:rPr>
                <w:sz w:val="20"/>
              </w:rPr>
              <w:t>Other support space:</w:t>
            </w:r>
            <w:r>
              <w:rPr>
                <w:sz w:val="20"/>
              </w:rPr>
              <w:t xml:space="preserve"> e.g </w:t>
            </w:r>
            <w:r w:rsidRPr="00B268EA">
              <w:rPr>
                <w:sz w:val="20"/>
              </w:rPr>
              <w:t xml:space="preserve"> sport</w:t>
            </w:r>
          </w:p>
        </w:tc>
        <w:tc>
          <w:tcPr>
            <w:tcW w:w="567" w:type="dxa"/>
            <w:tcBorders>
              <w:bottom w:val="single" w:sz="4" w:space="0" w:color="808080"/>
            </w:tcBorders>
          </w:tcPr>
          <w:p w:rsidR="004D17D6" w:rsidRPr="00B268EA" w:rsidRDefault="004D17D6" w:rsidP="00B268EA">
            <w:pPr>
              <w:keepNext/>
              <w:jc w:val="left"/>
              <w:rPr>
                <w:sz w:val="20"/>
              </w:rPr>
            </w:pPr>
          </w:p>
        </w:tc>
        <w:tc>
          <w:tcPr>
            <w:tcW w:w="567" w:type="dxa"/>
            <w:tcBorders>
              <w:bottom w:val="single" w:sz="4" w:space="0" w:color="808080"/>
            </w:tcBorders>
          </w:tcPr>
          <w:p w:rsidR="004D17D6" w:rsidRPr="00B268EA" w:rsidRDefault="004D17D6" w:rsidP="00B268EA">
            <w:pPr>
              <w:keepNext/>
              <w:jc w:val="left"/>
              <w:rPr>
                <w:sz w:val="20"/>
              </w:rPr>
            </w:pPr>
          </w:p>
        </w:tc>
        <w:tc>
          <w:tcPr>
            <w:tcW w:w="567" w:type="dxa"/>
            <w:tcBorders>
              <w:bottom w:val="single" w:sz="4" w:space="0" w:color="808080"/>
            </w:tcBorders>
          </w:tcPr>
          <w:p w:rsidR="004D17D6" w:rsidRPr="00B268EA" w:rsidRDefault="004D17D6" w:rsidP="00B268EA">
            <w:pPr>
              <w:keepNext/>
              <w:jc w:val="left"/>
              <w:rPr>
                <w:sz w:val="20"/>
              </w:rPr>
            </w:pPr>
          </w:p>
        </w:tc>
        <w:tc>
          <w:tcPr>
            <w:tcW w:w="3161" w:type="dxa"/>
            <w:tcBorders>
              <w:bottom w:val="single" w:sz="4" w:space="0" w:color="808080"/>
              <w:right w:val="single" w:sz="4" w:space="0" w:color="808080"/>
            </w:tcBorders>
          </w:tcPr>
          <w:p w:rsidR="004D17D6" w:rsidRPr="00B268EA" w:rsidRDefault="004D17D6" w:rsidP="00DF7DED">
            <w:pPr>
              <w:keepNext/>
              <w:jc w:val="left"/>
              <w:rPr>
                <w:sz w:val="20"/>
                <w:highlight w:val="yellow"/>
              </w:rPr>
            </w:pPr>
            <w:r w:rsidRPr="00396A62">
              <w:rPr>
                <w:sz w:val="20"/>
              </w:rPr>
              <w:t>Use of tools such as Sport England guidance for indoor facilities (www.sportengland.org)</w:t>
            </w:r>
          </w:p>
        </w:tc>
      </w:tr>
    </w:tbl>
    <w:p w:rsidR="004D17D6" w:rsidRDefault="004D17D6" w:rsidP="00B268EA"/>
    <w:p w:rsidR="004D17D6" w:rsidRDefault="004D17D6" w:rsidP="003F5017">
      <w:r w:rsidRPr="008A7610">
        <w:t xml:space="preserve">Libraries and learning centres: HEIs may choose to use EMS and/or SCONUL ratios for assessing central library and learning centre needs. </w:t>
      </w:r>
      <w:r w:rsidR="00047E09">
        <w:fldChar w:fldCharType="begin"/>
      </w:r>
      <w:r>
        <w:instrText xml:space="preserve"> REF _Ref254194067 \h </w:instrText>
      </w:r>
      <w:r w:rsidR="00047E09">
        <w:fldChar w:fldCharType="separate"/>
      </w:r>
      <w:r w:rsidR="00340977" w:rsidRPr="0095577D">
        <w:t xml:space="preserve">Table </w:t>
      </w:r>
      <w:r w:rsidR="00340977">
        <w:rPr>
          <w:noProof/>
        </w:rPr>
        <w:t>5</w:t>
      </w:r>
      <w:r w:rsidR="00047E09">
        <w:fldChar w:fldCharType="end"/>
      </w:r>
      <w:r w:rsidRPr="008A7610">
        <w:t xml:space="preserve"> includes 2009 all HEIs reported ratios for library and learning space per student FTE.  HEIs may wish to use these or EMS subgroup or peer group ratios as a guide. It is advisable to be aware of the definition for library and learning centres used by EMS to avoid double counting with other types of space:</w:t>
      </w:r>
    </w:p>
    <w:p w:rsidR="004D17D6" w:rsidRPr="008A7610" w:rsidRDefault="004D17D6" w:rsidP="003F5017">
      <w:r w:rsidRPr="008A7610">
        <w:t xml:space="preserve">In accordance with the definition used in the Society of College, National and University Libraries (SCONUL) annual statistics, Libraries/Learning Centres are defined as a systematic collection of information resources under the control of the Librarian or Director of Information Services, or equivalent, and having a separate entrance. These resources may be in print or other media. A storage facility, whether or not staffed, on or off-campus, counts as a separate library if it has a separate entrance. It also includes PC clusters, even large open access PC areas, housed within libraries, and photocopying services. </w:t>
      </w:r>
    </w:p>
    <w:p w:rsidR="004D17D6" w:rsidRPr="008A7610" w:rsidRDefault="004D17D6" w:rsidP="003F5017">
      <w:r w:rsidRPr="008A7610">
        <w:t xml:space="preserve">Include offices that are part of the Library/Learning centre, such as offices for the Head of the Resource Centre, section management, technical facilities staff, subject librarians, general librarians and resource administration. </w:t>
      </w:r>
    </w:p>
    <w:p w:rsidR="004D17D6" w:rsidRDefault="004D17D6" w:rsidP="003F5017">
      <w:r w:rsidRPr="008A7610">
        <w:t>Please note that this definition includes open access computing areas that are integral to the Library/Learning Centre, but would leave other dispersed open access rooms in the support category C9.  (EMS data definitions)</w:t>
      </w:r>
    </w:p>
    <w:p w:rsidR="004D17D6" w:rsidRPr="008A7610" w:rsidRDefault="004D17D6" w:rsidP="003F5017">
      <w:r w:rsidRPr="008A7610">
        <w:t xml:space="preserve">Catering: </w:t>
      </w:r>
      <w:r w:rsidR="00047E09">
        <w:fldChar w:fldCharType="begin"/>
      </w:r>
      <w:r>
        <w:instrText xml:space="preserve"> REF _Ref254194067 \h </w:instrText>
      </w:r>
      <w:r w:rsidR="00047E09">
        <w:fldChar w:fldCharType="separate"/>
      </w:r>
      <w:r w:rsidR="00340977" w:rsidRPr="0095577D">
        <w:t xml:space="preserve">Table </w:t>
      </w:r>
      <w:r w:rsidR="00340977">
        <w:rPr>
          <w:noProof/>
        </w:rPr>
        <w:t>5</w:t>
      </w:r>
      <w:r w:rsidR="00047E09">
        <w:fldChar w:fldCharType="end"/>
      </w:r>
      <w:r w:rsidRPr="008A7610">
        <w:t xml:space="preserve"> includes the 2009 ratios for catering space per student FTE. HEIs may wish to use these or EMS subgroup or peer group ratios as a guide.</w:t>
      </w:r>
    </w:p>
    <w:p w:rsidR="004D17D6" w:rsidRPr="008A7610" w:rsidRDefault="004D17D6" w:rsidP="003F5017">
      <w:r w:rsidRPr="008A7610">
        <w:t xml:space="preserve">Non-academic support office space: The SAM examples include provision for office areas for academic staff and academic support staff by discipline. The same principles can be used to assess the space profiles for non-academic support staff. Please see the guide in </w:t>
      </w:r>
      <w:r w:rsidR="00047E09">
        <w:fldChar w:fldCharType="begin"/>
      </w:r>
      <w:r>
        <w:instrText xml:space="preserve"> REF _Ref254196188 \h </w:instrText>
      </w:r>
      <w:r w:rsidR="00047E09">
        <w:fldChar w:fldCharType="separate"/>
      </w:r>
      <w:r w:rsidR="00340977" w:rsidRPr="0095577D">
        <w:t xml:space="preserve">Table </w:t>
      </w:r>
      <w:r w:rsidR="00340977">
        <w:rPr>
          <w:noProof/>
        </w:rPr>
        <w:t>3</w:t>
      </w:r>
      <w:r w:rsidR="00047E09">
        <w:fldChar w:fldCharType="end"/>
      </w:r>
      <w:r w:rsidRPr="008A7610">
        <w:t>.</w:t>
      </w:r>
    </w:p>
    <w:p w:rsidR="004D17D6" w:rsidRPr="008A7610" w:rsidRDefault="004D17D6" w:rsidP="003F5017">
      <w:r w:rsidRPr="008A7610">
        <w:t xml:space="preserve">For comparative purposes, the area generated by this step is the equivalent of the support office area reported in EMS. </w:t>
      </w:r>
      <w:r w:rsidR="00047E09">
        <w:fldChar w:fldCharType="begin"/>
      </w:r>
      <w:r>
        <w:instrText xml:space="preserve"> REF _Ref254194067 \h </w:instrText>
      </w:r>
      <w:r w:rsidR="00047E09">
        <w:fldChar w:fldCharType="separate"/>
      </w:r>
      <w:r w:rsidR="00340977" w:rsidRPr="0095577D">
        <w:t xml:space="preserve">Table </w:t>
      </w:r>
      <w:r w:rsidR="00340977">
        <w:rPr>
          <w:noProof/>
        </w:rPr>
        <w:t>5</w:t>
      </w:r>
      <w:r w:rsidR="00047E09">
        <w:fldChar w:fldCharType="end"/>
      </w:r>
      <w:r w:rsidRPr="008A7610">
        <w:t xml:space="preserve"> shows ratios for non-academic space per student FTE (to be updated). </w:t>
      </w:r>
    </w:p>
    <w:p w:rsidR="004D17D6" w:rsidRPr="008A7610" w:rsidRDefault="004D17D6" w:rsidP="003F5017">
      <w:r w:rsidRPr="008A7610">
        <w:t>Other support space – sport:  (to include Sport England details when the website update now being undertaken is available.) Please note that some sports provision may have already been included in space assessment models in certain cases, for example in association with Education or Sports Science. Where this is the case and there is shared use of general HEI facilities, it will be necessary to avoid double counting.</w:t>
      </w:r>
    </w:p>
    <w:p w:rsidR="004D17D6" w:rsidRDefault="004D17D6" w:rsidP="003F5017">
      <w:pPr>
        <w:sectPr w:rsidR="004D17D6" w:rsidSect="007237EA">
          <w:pgSz w:w="11909" w:h="16834" w:code="9"/>
          <w:pgMar w:top="1872" w:right="2160" w:bottom="1872" w:left="2160" w:header="864" w:footer="864" w:gutter="0"/>
          <w:paperSrc w:first="15" w:other="15"/>
          <w:cols w:space="720"/>
          <w:docGrid w:linePitch="299"/>
        </w:sectPr>
      </w:pPr>
    </w:p>
    <w:p w:rsidR="004D17D6" w:rsidRDefault="004D17D6" w:rsidP="00C538E0">
      <w:pPr>
        <w:pStyle w:val="Heading1"/>
      </w:pPr>
      <w:bookmarkStart w:id="10" w:name="_Toc257210538"/>
      <w:r>
        <w:t xml:space="preserve">List of </w:t>
      </w:r>
      <w:r w:rsidRPr="008A7610">
        <w:t>H</w:t>
      </w:r>
      <w:r>
        <w:t>ESA JACS codes and SAM examples</w:t>
      </w:r>
      <w:bookmarkEnd w:id="10"/>
    </w:p>
    <w:p w:rsidR="004D17D6" w:rsidRDefault="004D17D6" w:rsidP="003F5017">
      <w:r>
        <w:t>A tick in the “SAM example given” column signifies that an example has been produced for the corresponding principal subject in the JACS subject groups.</w:t>
      </w:r>
    </w:p>
    <w:p w:rsidR="004D17D6" w:rsidRDefault="004D17D6" w:rsidP="00B268EA"/>
    <w:tbl>
      <w:tblPr>
        <w:tblW w:w="0" w:type="auto"/>
        <w:tblLayout w:type="fixed"/>
        <w:tblLook w:val="0000" w:firstRow="0" w:lastRow="0" w:firstColumn="0" w:lastColumn="0" w:noHBand="0" w:noVBand="0"/>
      </w:tblPr>
      <w:tblGrid>
        <w:gridCol w:w="6629"/>
        <w:gridCol w:w="1176"/>
      </w:tblGrid>
      <w:tr w:rsidR="004D17D6" w:rsidRPr="00E56C7E" w:rsidTr="00B268EA">
        <w:trPr>
          <w:cantSplit/>
          <w:tblHeader/>
        </w:trPr>
        <w:tc>
          <w:tcPr>
            <w:tcW w:w="7805" w:type="dxa"/>
            <w:gridSpan w:val="2"/>
            <w:tcBorders>
              <w:top w:val="single" w:sz="4" w:space="0" w:color="808080"/>
              <w:left w:val="single" w:sz="4" w:space="0" w:color="808080"/>
              <w:bottom w:val="single" w:sz="4" w:space="0" w:color="808080"/>
              <w:right w:val="single" w:sz="4" w:space="0" w:color="808080"/>
            </w:tcBorders>
            <w:shd w:val="pct10" w:color="auto" w:fill="auto"/>
          </w:tcPr>
          <w:p w:rsidR="004D17D6" w:rsidRPr="0095577D" w:rsidRDefault="004D17D6" w:rsidP="001E3EC0">
            <w:pPr>
              <w:pStyle w:val="StyleCaptionCalibriBefore14ptAfter14pt"/>
            </w:pPr>
            <w:r w:rsidRPr="0095577D">
              <w:t xml:space="preserve">Table </w:t>
            </w:r>
            <w:r w:rsidR="00B975BF">
              <w:fldChar w:fldCharType="begin"/>
            </w:r>
            <w:r w:rsidR="00B975BF">
              <w:instrText xml:space="preserve"> SEQ Table \* ARABIC </w:instrText>
            </w:r>
            <w:r w:rsidR="00B975BF">
              <w:fldChar w:fldCharType="separate"/>
            </w:r>
            <w:r w:rsidR="00340977">
              <w:rPr>
                <w:noProof/>
              </w:rPr>
              <w:t>6</w:t>
            </w:r>
            <w:r w:rsidR="00B975BF">
              <w:rPr>
                <w:noProof/>
              </w:rPr>
              <w:fldChar w:fldCharType="end"/>
            </w:r>
            <w:r w:rsidRPr="0095577D">
              <w:t xml:space="preserve">: </w:t>
            </w:r>
            <w:r>
              <w:t xml:space="preserve">List of </w:t>
            </w:r>
            <w:r w:rsidRPr="008A7610">
              <w:t>H</w:t>
            </w:r>
            <w:r>
              <w:t>ESA JACS subject groups and SAM examples</w:t>
            </w:r>
          </w:p>
        </w:tc>
      </w:tr>
      <w:tr w:rsidR="004D17D6" w:rsidRPr="000F38FD" w:rsidTr="001E3EC0">
        <w:trPr>
          <w:cantSplit/>
          <w:tblHeader/>
        </w:trPr>
        <w:tc>
          <w:tcPr>
            <w:tcW w:w="6629" w:type="dxa"/>
            <w:tcBorders>
              <w:top w:val="single" w:sz="4" w:space="0" w:color="808080"/>
              <w:left w:val="single" w:sz="4" w:space="0" w:color="808080"/>
              <w:bottom w:val="single" w:sz="4" w:space="0" w:color="808080"/>
            </w:tcBorders>
            <w:vAlign w:val="bottom"/>
          </w:tcPr>
          <w:p w:rsidR="004D17D6" w:rsidRPr="000F38FD" w:rsidRDefault="004D17D6" w:rsidP="001E3EC0">
            <w:pPr>
              <w:jc w:val="left"/>
              <w:rPr>
                <w:b/>
              </w:rPr>
            </w:pPr>
            <w:r>
              <w:rPr>
                <w:b/>
              </w:rPr>
              <w:t>HESA JACS subject groups and principal subjects</w:t>
            </w:r>
          </w:p>
        </w:tc>
        <w:tc>
          <w:tcPr>
            <w:tcW w:w="1176" w:type="dxa"/>
            <w:tcBorders>
              <w:top w:val="single" w:sz="4" w:space="0" w:color="808080"/>
              <w:bottom w:val="single" w:sz="4" w:space="0" w:color="808080"/>
              <w:right w:val="single" w:sz="4" w:space="0" w:color="808080"/>
            </w:tcBorders>
            <w:vAlign w:val="bottom"/>
          </w:tcPr>
          <w:p w:rsidR="004D17D6" w:rsidRPr="000F38FD" w:rsidRDefault="004D17D6" w:rsidP="001E3EC0">
            <w:pPr>
              <w:jc w:val="center"/>
              <w:rPr>
                <w:b/>
              </w:rPr>
            </w:pPr>
            <w:r>
              <w:rPr>
                <w:b/>
              </w:rPr>
              <w:t>SAM example given</w:t>
            </w:r>
          </w:p>
        </w:tc>
      </w:tr>
      <w:tr w:rsidR="004D17D6" w:rsidRPr="000F38FD" w:rsidTr="001E3EC0">
        <w:trPr>
          <w:cantSplit/>
        </w:trPr>
        <w:tc>
          <w:tcPr>
            <w:tcW w:w="6629" w:type="dxa"/>
            <w:tcBorders>
              <w:top w:val="single" w:sz="4" w:space="0" w:color="808080"/>
              <w:left w:val="single" w:sz="4" w:space="0" w:color="808080"/>
            </w:tcBorders>
            <w:vAlign w:val="bottom"/>
          </w:tcPr>
          <w:p w:rsidR="004D17D6" w:rsidRPr="00B268EA" w:rsidRDefault="004D17D6" w:rsidP="001E3EC0">
            <w:pPr>
              <w:jc w:val="left"/>
              <w:rPr>
                <w:sz w:val="20"/>
              </w:rPr>
            </w:pPr>
            <w:r>
              <w:rPr>
                <w:sz w:val="20"/>
              </w:rPr>
              <w:t xml:space="preserve"> A </w:t>
            </w:r>
            <w:r w:rsidRPr="00B268EA">
              <w:rPr>
                <w:sz w:val="20"/>
              </w:rPr>
              <w:t>Medicine and dentistry</w:t>
            </w:r>
          </w:p>
        </w:tc>
        <w:tc>
          <w:tcPr>
            <w:tcW w:w="1176" w:type="dxa"/>
            <w:tcBorders>
              <w:top w:val="single" w:sz="4" w:space="0" w:color="808080"/>
              <w:right w:val="single" w:sz="4" w:space="0" w:color="808080"/>
            </w:tcBorders>
            <w:vAlign w:val="bottom"/>
          </w:tcPr>
          <w:p w:rsidR="004D17D6" w:rsidRPr="00B268EA"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B268EA" w:rsidRDefault="004D17D6" w:rsidP="001E3EC0">
            <w:pPr>
              <w:ind w:left="454"/>
              <w:jc w:val="left"/>
              <w:rPr>
                <w:sz w:val="20"/>
              </w:rPr>
            </w:pPr>
            <w:r w:rsidRPr="00B268EA">
              <w:rPr>
                <w:sz w:val="20"/>
              </w:rPr>
              <w:t>Broadly based programmes within medicine and dentistry</w:t>
            </w:r>
          </w:p>
        </w:tc>
        <w:tc>
          <w:tcPr>
            <w:tcW w:w="1176" w:type="dxa"/>
            <w:tcBorders>
              <w:right w:val="single" w:sz="4" w:space="0" w:color="808080"/>
            </w:tcBorders>
            <w:vAlign w:val="bottom"/>
          </w:tcPr>
          <w:p w:rsidR="004D17D6" w:rsidRPr="00B268EA"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B268EA" w:rsidRDefault="004D17D6" w:rsidP="001E3EC0">
            <w:pPr>
              <w:ind w:left="454"/>
              <w:jc w:val="left"/>
              <w:rPr>
                <w:sz w:val="20"/>
              </w:rPr>
            </w:pPr>
            <w:r w:rsidRPr="00B268EA">
              <w:rPr>
                <w:sz w:val="20"/>
              </w:rPr>
              <w:t>Pre-clinical medicine</w:t>
            </w:r>
          </w:p>
        </w:tc>
        <w:tc>
          <w:tcPr>
            <w:tcW w:w="1176" w:type="dxa"/>
            <w:tcBorders>
              <w:right w:val="single" w:sz="4" w:space="0" w:color="808080"/>
            </w:tcBorders>
            <w:vAlign w:val="bottom"/>
          </w:tcPr>
          <w:p w:rsidR="004D17D6" w:rsidRPr="00B268EA" w:rsidRDefault="004D17D6" w:rsidP="001E3EC0">
            <w:pPr>
              <w:jc w:val="center"/>
              <w:rPr>
                <w:sz w:val="20"/>
              </w:rPr>
            </w:pPr>
            <w:r w:rsidRPr="00B268EA">
              <w:rPr>
                <w:sz w:val="20"/>
                <w:szCs w:val="20"/>
              </w:rPr>
              <w:sym w:font="Wingdings 2" w:char="F050"/>
            </w:r>
          </w:p>
        </w:tc>
      </w:tr>
      <w:tr w:rsidR="004D17D6" w:rsidRPr="000F38FD" w:rsidTr="001E3EC0">
        <w:trPr>
          <w:cantSplit/>
        </w:trPr>
        <w:tc>
          <w:tcPr>
            <w:tcW w:w="6629" w:type="dxa"/>
            <w:tcBorders>
              <w:left w:val="single" w:sz="4" w:space="0" w:color="808080"/>
            </w:tcBorders>
            <w:vAlign w:val="bottom"/>
          </w:tcPr>
          <w:p w:rsidR="004D17D6" w:rsidRPr="00B268EA" w:rsidRDefault="004D17D6" w:rsidP="001E3EC0">
            <w:pPr>
              <w:ind w:left="454"/>
              <w:jc w:val="left"/>
              <w:rPr>
                <w:sz w:val="20"/>
              </w:rPr>
            </w:pPr>
            <w:r w:rsidRPr="00B268EA">
              <w:rPr>
                <w:sz w:val="20"/>
              </w:rPr>
              <w:t>Pre-clinical dentistry</w:t>
            </w:r>
          </w:p>
        </w:tc>
        <w:tc>
          <w:tcPr>
            <w:tcW w:w="1176" w:type="dxa"/>
            <w:tcBorders>
              <w:right w:val="single" w:sz="4" w:space="0" w:color="808080"/>
            </w:tcBorders>
            <w:vAlign w:val="bottom"/>
          </w:tcPr>
          <w:p w:rsidR="004D17D6" w:rsidRPr="00B268EA"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B268EA" w:rsidRDefault="004D17D6" w:rsidP="001E3EC0">
            <w:pPr>
              <w:ind w:left="454"/>
              <w:jc w:val="left"/>
              <w:rPr>
                <w:sz w:val="20"/>
              </w:rPr>
            </w:pPr>
            <w:r w:rsidRPr="00B268EA">
              <w:rPr>
                <w:sz w:val="20"/>
              </w:rPr>
              <w:t>Clinical medicine</w:t>
            </w:r>
          </w:p>
        </w:tc>
        <w:tc>
          <w:tcPr>
            <w:tcW w:w="1176" w:type="dxa"/>
            <w:tcBorders>
              <w:right w:val="single" w:sz="4" w:space="0" w:color="808080"/>
            </w:tcBorders>
            <w:vAlign w:val="bottom"/>
          </w:tcPr>
          <w:p w:rsidR="004D17D6" w:rsidRPr="00B268EA"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B268EA" w:rsidRDefault="004D17D6" w:rsidP="001E3EC0">
            <w:pPr>
              <w:ind w:left="454"/>
              <w:jc w:val="left"/>
              <w:rPr>
                <w:sz w:val="20"/>
              </w:rPr>
            </w:pPr>
            <w:r w:rsidRPr="00B268EA">
              <w:rPr>
                <w:sz w:val="20"/>
              </w:rPr>
              <w:t>Clinical dentistry</w:t>
            </w:r>
          </w:p>
        </w:tc>
        <w:tc>
          <w:tcPr>
            <w:tcW w:w="1176" w:type="dxa"/>
            <w:tcBorders>
              <w:right w:val="single" w:sz="4" w:space="0" w:color="808080"/>
            </w:tcBorders>
            <w:vAlign w:val="bottom"/>
          </w:tcPr>
          <w:p w:rsidR="004D17D6" w:rsidRPr="00B268EA"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B268EA" w:rsidRDefault="004D17D6" w:rsidP="001E3EC0">
            <w:pPr>
              <w:ind w:left="454"/>
              <w:jc w:val="left"/>
              <w:rPr>
                <w:sz w:val="20"/>
              </w:rPr>
            </w:pPr>
            <w:r w:rsidRPr="00B268EA">
              <w:rPr>
                <w:sz w:val="20"/>
              </w:rPr>
              <w:t>Others in medicine and dentistry</w:t>
            </w:r>
          </w:p>
        </w:tc>
        <w:tc>
          <w:tcPr>
            <w:tcW w:w="1176" w:type="dxa"/>
            <w:tcBorders>
              <w:right w:val="single" w:sz="4" w:space="0" w:color="808080"/>
            </w:tcBorders>
            <w:vAlign w:val="bottom"/>
          </w:tcPr>
          <w:p w:rsidR="004D17D6" w:rsidRPr="00B268EA"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B268EA" w:rsidRDefault="004D17D6" w:rsidP="001E3EC0">
            <w:pPr>
              <w:jc w:val="left"/>
              <w:rPr>
                <w:sz w:val="20"/>
              </w:rPr>
            </w:pPr>
            <w:r>
              <w:rPr>
                <w:sz w:val="20"/>
              </w:rPr>
              <w:t xml:space="preserve">B </w:t>
            </w:r>
            <w:r w:rsidRPr="00B268EA">
              <w:rPr>
                <w:sz w:val="20"/>
              </w:rPr>
              <w:t>Subjects allied to medicine</w:t>
            </w:r>
          </w:p>
        </w:tc>
        <w:tc>
          <w:tcPr>
            <w:tcW w:w="1176" w:type="dxa"/>
            <w:tcBorders>
              <w:right w:val="single" w:sz="4" w:space="0" w:color="808080"/>
            </w:tcBorders>
            <w:vAlign w:val="bottom"/>
          </w:tcPr>
          <w:p w:rsidR="004D17D6" w:rsidRPr="00B268EA"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B268EA" w:rsidRDefault="004D17D6" w:rsidP="001E3EC0">
            <w:pPr>
              <w:ind w:left="454"/>
              <w:jc w:val="left"/>
              <w:rPr>
                <w:sz w:val="20"/>
              </w:rPr>
            </w:pPr>
            <w:r w:rsidRPr="00B268EA">
              <w:rPr>
                <w:sz w:val="20"/>
              </w:rPr>
              <w:t>Broadly based programmes within subjects allied to medicine</w:t>
            </w:r>
          </w:p>
        </w:tc>
        <w:tc>
          <w:tcPr>
            <w:tcW w:w="1176" w:type="dxa"/>
            <w:tcBorders>
              <w:right w:val="single" w:sz="4" w:space="0" w:color="808080"/>
            </w:tcBorders>
            <w:vAlign w:val="bottom"/>
          </w:tcPr>
          <w:p w:rsidR="004D17D6" w:rsidRPr="00B268EA"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B268EA" w:rsidRDefault="004D17D6" w:rsidP="001E3EC0">
            <w:pPr>
              <w:ind w:left="454"/>
              <w:jc w:val="left"/>
              <w:rPr>
                <w:sz w:val="20"/>
              </w:rPr>
            </w:pPr>
            <w:r w:rsidRPr="00B268EA">
              <w:rPr>
                <w:sz w:val="20"/>
              </w:rPr>
              <w:t>Anatomy, physiology and pathology</w:t>
            </w:r>
          </w:p>
        </w:tc>
        <w:tc>
          <w:tcPr>
            <w:tcW w:w="1176" w:type="dxa"/>
            <w:tcBorders>
              <w:right w:val="single" w:sz="4" w:space="0" w:color="808080"/>
            </w:tcBorders>
            <w:vAlign w:val="bottom"/>
          </w:tcPr>
          <w:p w:rsidR="004D17D6" w:rsidRPr="00B268EA"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B268EA" w:rsidRDefault="004D17D6" w:rsidP="001E3EC0">
            <w:pPr>
              <w:ind w:left="454"/>
              <w:jc w:val="left"/>
              <w:rPr>
                <w:sz w:val="20"/>
              </w:rPr>
            </w:pPr>
            <w:r w:rsidRPr="00B268EA">
              <w:rPr>
                <w:sz w:val="20"/>
              </w:rPr>
              <w:t>Pharmacology, toxicology and pharmacy</w:t>
            </w:r>
          </w:p>
        </w:tc>
        <w:tc>
          <w:tcPr>
            <w:tcW w:w="1176" w:type="dxa"/>
            <w:tcBorders>
              <w:right w:val="single" w:sz="4" w:space="0" w:color="808080"/>
            </w:tcBorders>
            <w:vAlign w:val="bottom"/>
          </w:tcPr>
          <w:p w:rsidR="004D17D6" w:rsidRPr="00B268EA"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B268EA" w:rsidRDefault="004D17D6" w:rsidP="001E3EC0">
            <w:pPr>
              <w:ind w:left="454"/>
              <w:jc w:val="left"/>
              <w:rPr>
                <w:sz w:val="20"/>
              </w:rPr>
            </w:pPr>
            <w:r w:rsidRPr="00B268EA">
              <w:rPr>
                <w:sz w:val="20"/>
              </w:rPr>
              <w:t>Complementary medicine</w:t>
            </w:r>
          </w:p>
        </w:tc>
        <w:tc>
          <w:tcPr>
            <w:tcW w:w="1176" w:type="dxa"/>
            <w:tcBorders>
              <w:right w:val="single" w:sz="4" w:space="0" w:color="808080"/>
            </w:tcBorders>
            <w:vAlign w:val="bottom"/>
          </w:tcPr>
          <w:p w:rsidR="004D17D6" w:rsidRPr="00B268EA"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B268EA" w:rsidRDefault="004D17D6" w:rsidP="001E3EC0">
            <w:pPr>
              <w:ind w:left="454"/>
              <w:jc w:val="left"/>
              <w:rPr>
                <w:sz w:val="20"/>
              </w:rPr>
            </w:pPr>
            <w:r w:rsidRPr="00B268EA">
              <w:rPr>
                <w:sz w:val="20"/>
              </w:rPr>
              <w:t>Nutrition</w:t>
            </w:r>
          </w:p>
        </w:tc>
        <w:tc>
          <w:tcPr>
            <w:tcW w:w="1176" w:type="dxa"/>
            <w:tcBorders>
              <w:right w:val="single" w:sz="4" w:space="0" w:color="808080"/>
            </w:tcBorders>
            <w:vAlign w:val="bottom"/>
          </w:tcPr>
          <w:p w:rsidR="004D17D6" w:rsidRPr="00B268EA"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B268EA" w:rsidRDefault="004D17D6" w:rsidP="001E3EC0">
            <w:pPr>
              <w:ind w:left="454"/>
              <w:jc w:val="left"/>
              <w:rPr>
                <w:sz w:val="20"/>
              </w:rPr>
            </w:pPr>
            <w:r w:rsidRPr="00B268EA">
              <w:rPr>
                <w:sz w:val="20"/>
              </w:rPr>
              <w:t>Ophthalmics</w:t>
            </w:r>
          </w:p>
        </w:tc>
        <w:tc>
          <w:tcPr>
            <w:tcW w:w="1176" w:type="dxa"/>
            <w:tcBorders>
              <w:right w:val="single" w:sz="4" w:space="0" w:color="808080"/>
            </w:tcBorders>
            <w:vAlign w:val="bottom"/>
          </w:tcPr>
          <w:p w:rsidR="004D17D6" w:rsidRPr="00B268EA"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B268EA" w:rsidRDefault="004D17D6" w:rsidP="001E3EC0">
            <w:pPr>
              <w:ind w:left="454"/>
              <w:jc w:val="left"/>
              <w:rPr>
                <w:sz w:val="20"/>
              </w:rPr>
            </w:pPr>
            <w:r w:rsidRPr="00B268EA">
              <w:rPr>
                <w:sz w:val="20"/>
              </w:rPr>
              <w:t>Aural and oral sciences</w:t>
            </w:r>
          </w:p>
        </w:tc>
        <w:tc>
          <w:tcPr>
            <w:tcW w:w="1176" w:type="dxa"/>
            <w:tcBorders>
              <w:right w:val="single" w:sz="4" w:space="0" w:color="808080"/>
            </w:tcBorders>
            <w:vAlign w:val="bottom"/>
          </w:tcPr>
          <w:p w:rsidR="004D17D6" w:rsidRPr="00B268EA"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B268EA" w:rsidRDefault="004D17D6" w:rsidP="001E3EC0">
            <w:pPr>
              <w:ind w:left="454"/>
              <w:jc w:val="left"/>
              <w:rPr>
                <w:sz w:val="20"/>
              </w:rPr>
            </w:pPr>
            <w:r w:rsidRPr="00B268EA">
              <w:rPr>
                <w:sz w:val="20"/>
              </w:rPr>
              <w:t>Nursing</w:t>
            </w:r>
          </w:p>
        </w:tc>
        <w:tc>
          <w:tcPr>
            <w:tcW w:w="1176" w:type="dxa"/>
            <w:tcBorders>
              <w:right w:val="single" w:sz="4" w:space="0" w:color="808080"/>
            </w:tcBorders>
            <w:vAlign w:val="bottom"/>
          </w:tcPr>
          <w:p w:rsidR="004D17D6" w:rsidRPr="00B268EA" w:rsidRDefault="004D17D6" w:rsidP="001E3EC0">
            <w:pPr>
              <w:jc w:val="center"/>
              <w:rPr>
                <w:sz w:val="20"/>
              </w:rPr>
            </w:pPr>
            <w:r w:rsidRPr="00B268EA">
              <w:rPr>
                <w:sz w:val="20"/>
                <w:szCs w:val="20"/>
              </w:rPr>
              <w:sym w:font="Wingdings 2" w:char="F050"/>
            </w:r>
          </w:p>
        </w:tc>
      </w:tr>
      <w:tr w:rsidR="004D17D6" w:rsidRPr="000F38FD" w:rsidTr="001E3EC0">
        <w:trPr>
          <w:cantSplit/>
        </w:trPr>
        <w:tc>
          <w:tcPr>
            <w:tcW w:w="6629" w:type="dxa"/>
            <w:tcBorders>
              <w:left w:val="single" w:sz="4" w:space="0" w:color="808080"/>
            </w:tcBorders>
            <w:vAlign w:val="bottom"/>
          </w:tcPr>
          <w:p w:rsidR="004D17D6" w:rsidRPr="00B268EA" w:rsidRDefault="004D17D6" w:rsidP="001E3EC0">
            <w:pPr>
              <w:ind w:left="454"/>
              <w:jc w:val="left"/>
              <w:rPr>
                <w:sz w:val="20"/>
              </w:rPr>
            </w:pPr>
            <w:r w:rsidRPr="00B268EA">
              <w:rPr>
                <w:sz w:val="20"/>
              </w:rPr>
              <w:t>Medical technology</w:t>
            </w:r>
          </w:p>
        </w:tc>
        <w:tc>
          <w:tcPr>
            <w:tcW w:w="1176" w:type="dxa"/>
            <w:tcBorders>
              <w:right w:val="single" w:sz="4" w:space="0" w:color="808080"/>
            </w:tcBorders>
            <w:vAlign w:val="bottom"/>
          </w:tcPr>
          <w:p w:rsidR="004D17D6" w:rsidRPr="00B268EA"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B268EA" w:rsidRDefault="004D17D6" w:rsidP="001E3EC0">
            <w:pPr>
              <w:ind w:left="454"/>
              <w:jc w:val="left"/>
              <w:rPr>
                <w:sz w:val="20"/>
              </w:rPr>
            </w:pPr>
            <w:r w:rsidRPr="00B268EA">
              <w:rPr>
                <w:sz w:val="20"/>
              </w:rPr>
              <w:t>Others in subjects allied to medicine</w:t>
            </w:r>
          </w:p>
        </w:tc>
        <w:tc>
          <w:tcPr>
            <w:tcW w:w="1176" w:type="dxa"/>
            <w:tcBorders>
              <w:right w:val="single" w:sz="4" w:space="0" w:color="808080"/>
            </w:tcBorders>
            <w:vAlign w:val="bottom"/>
          </w:tcPr>
          <w:p w:rsidR="004D17D6" w:rsidRPr="00B268EA"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B268EA" w:rsidRDefault="004D17D6" w:rsidP="001E3EC0">
            <w:pPr>
              <w:jc w:val="left"/>
              <w:rPr>
                <w:sz w:val="20"/>
              </w:rPr>
            </w:pPr>
            <w:r>
              <w:rPr>
                <w:sz w:val="20"/>
              </w:rPr>
              <w:t xml:space="preserve">C </w:t>
            </w:r>
            <w:r w:rsidRPr="00B268EA">
              <w:rPr>
                <w:sz w:val="20"/>
              </w:rPr>
              <w:t>Biological sciences</w:t>
            </w:r>
          </w:p>
        </w:tc>
        <w:tc>
          <w:tcPr>
            <w:tcW w:w="1176" w:type="dxa"/>
            <w:tcBorders>
              <w:right w:val="single" w:sz="4" w:space="0" w:color="808080"/>
            </w:tcBorders>
            <w:vAlign w:val="bottom"/>
          </w:tcPr>
          <w:p w:rsidR="004D17D6" w:rsidRPr="00B268EA"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B268EA" w:rsidRDefault="004D17D6" w:rsidP="001E3EC0">
            <w:pPr>
              <w:ind w:left="454"/>
              <w:jc w:val="left"/>
              <w:rPr>
                <w:sz w:val="20"/>
              </w:rPr>
            </w:pPr>
            <w:r w:rsidRPr="00B268EA">
              <w:rPr>
                <w:sz w:val="20"/>
              </w:rPr>
              <w:t>Broadly based programmes within biological sciences</w:t>
            </w:r>
          </w:p>
        </w:tc>
        <w:tc>
          <w:tcPr>
            <w:tcW w:w="1176" w:type="dxa"/>
            <w:tcBorders>
              <w:right w:val="single" w:sz="4" w:space="0" w:color="808080"/>
            </w:tcBorders>
            <w:vAlign w:val="bottom"/>
          </w:tcPr>
          <w:p w:rsidR="004D17D6" w:rsidRPr="00B268EA"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B268EA" w:rsidRDefault="004D17D6" w:rsidP="001E3EC0">
            <w:pPr>
              <w:ind w:left="454"/>
              <w:jc w:val="left"/>
              <w:rPr>
                <w:sz w:val="20"/>
              </w:rPr>
            </w:pPr>
            <w:r w:rsidRPr="00B268EA">
              <w:rPr>
                <w:sz w:val="20"/>
              </w:rPr>
              <w:t>Biology</w:t>
            </w:r>
          </w:p>
        </w:tc>
        <w:tc>
          <w:tcPr>
            <w:tcW w:w="1176" w:type="dxa"/>
            <w:tcBorders>
              <w:right w:val="single" w:sz="4" w:space="0" w:color="808080"/>
            </w:tcBorders>
            <w:vAlign w:val="bottom"/>
          </w:tcPr>
          <w:p w:rsidR="004D17D6" w:rsidRPr="00B268EA"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B268EA" w:rsidRDefault="004D17D6" w:rsidP="001E3EC0">
            <w:pPr>
              <w:ind w:left="454"/>
              <w:jc w:val="left"/>
              <w:rPr>
                <w:sz w:val="20"/>
              </w:rPr>
            </w:pPr>
            <w:r w:rsidRPr="00B268EA">
              <w:rPr>
                <w:sz w:val="20"/>
              </w:rPr>
              <w:t>Botany</w:t>
            </w:r>
          </w:p>
        </w:tc>
        <w:tc>
          <w:tcPr>
            <w:tcW w:w="1176" w:type="dxa"/>
            <w:tcBorders>
              <w:right w:val="single" w:sz="4" w:space="0" w:color="808080"/>
            </w:tcBorders>
            <w:vAlign w:val="bottom"/>
          </w:tcPr>
          <w:p w:rsidR="004D17D6" w:rsidRPr="00B268EA"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B268EA" w:rsidRDefault="004D17D6" w:rsidP="001E3EC0">
            <w:pPr>
              <w:ind w:left="454"/>
              <w:jc w:val="left"/>
              <w:rPr>
                <w:sz w:val="20"/>
              </w:rPr>
            </w:pPr>
            <w:r w:rsidRPr="00B268EA">
              <w:rPr>
                <w:sz w:val="20"/>
              </w:rPr>
              <w:t>Zoology</w:t>
            </w:r>
          </w:p>
        </w:tc>
        <w:tc>
          <w:tcPr>
            <w:tcW w:w="1176" w:type="dxa"/>
            <w:tcBorders>
              <w:right w:val="single" w:sz="4" w:space="0" w:color="808080"/>
            </w:tcBorders>
            <w:vAlign w:val="bottom"/>
          </w:tcPr>
          <w:p w:rsidR="004D17D6" w:rsidRPr="00B268EA"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B268EA" w:rsidRDefault="004D17D6" w:rsidP="001E3EC0">
            <w:pPr>
              <w:ind w:left="454"/>
              <w:jc w:val="left"/>
              <w:rPr>
                <w:sz w:val="20"/>
              </w:rPr>
            </w:pPr>
            <w:r w:rsidRPr="00B268EA">
              <w:rPr>
                <w:sz w:val="20"/>
              </w:rPr>
              <w:t>Genetics</w:t>
            </w:r>
          </w:p>
        </w:tc>
        <w:tc>
          <w:tcPr>
            <w:tcW w:w="1176" w:type="dxa"/>
            <w:tcBorders>
              <w:right w:val="single" w:sz="4" w:space="0" w:color="808080"/>
            </w:tcBorders>
            <w:vAlign w:val="bottom"/>
          </w:tcPr>
          <w:p w:rsidR="004D17D6" w:rsidRPr="00B268EA"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B268EA" w:rsidRDefault="004D17D6" w:rsidP="001E3EC0">
            <w:pPr>
              <w:ind w:left="454"/>
              <w:jc w:val="left"/>
              <w:rPr>
                <w:sz w:val="20"/>
              </w:rPr>
            </w:pPr>
            <w:r w:rsidRPr="00B268EA">
              <w:rPr>
                <w:sz w:val="20"/>
              </w:rPr>
              <w:t>Microbiology</w:t>
            </w:r>
          </w:p>
        </w:tc>
        <w:tc>
          <w:tcPr>
            <w:tcW w:w="1176" w:type="dxa"/>
            <w:tcBorders>
              <w:right w:val="single" w:sz="4" w:space="0" w:color="808080"/>
            </w:tcBorders>
            <w:vAlign w:val="bottom"/>
          </w:tcPr>
          <w:p w:rsidR="004D17D6" w:rsidRPr="00B268EA"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B268EA" w:rsidRDefault="004D17D6" w:rsidP="001E3EC0">
            <w:pPr>
              <w:ind w:left="454"/>
              <w:jc w:val="left"/>
              <w:rPr>
                <w:sz w:val="20"/>
              </w:rPr>
            </w:pPr>
            <w:r w:rsidRPr="00B268EA">
              <w:rPr>
                <w:sz w:val="20"/>
              </w:rPr>
              <w:t>Sports Science</w:t>
            </w:r>
          </w:p>
        </w:tc>
        <w:tc>
          <w:tcPr>
            <w:tcW w:w="1176" w:type="dxa"/>
            <w:tcBorders>
              <w:right w:val="single" w:sz="4" w:space="0" w:color="808080"/>
            </w:tcBorders>
            <w:vAlign w:val="bottom"/>
          </w:tcPr>
          <w:p w:rsidR="004D17D6" w:rsidRPr="00B268EA"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B268EA" w:rsidRDefault="004D17D6" w:rsidP="001E3EC0">
            <w:pPr>
              <w:ind w:left="454"/>
              <w:jc w:val="left"/>
              <w:rPr>
                <w:sz w:val="20"/>
              </w:rPr>
            </w:pPr>
            <w:r w:rsidRPr="00B268EA">
              <w:rPr>
                <w:sz w:val="20"/>
              </w:rPr>
              <w:t>Molecular Biology, Biophysics and biochemistry</w:t>
            </w:r>
          </w:p>
        </w:tc>
        <w:tc>
          <w:tcPr>
            <w:tcW w:w="1176" w:type="dxa"/>
            <w:tcBorders>
              <w:right w:val="single" w:sz="4" w:space="0" w:color="808080"/>
            </w:tcBorders>
            <w:vAlign w:val="bottom"/>
          </w:tcPr>
          <w:p w:rsidR="004D17D6" w:rsidRPr="00B268EA" w:rsidRDefault="004D17D6" w:rsidP="001E3EC0">
            <w:pPr>
              <w:jc w:val="center"/>
              <w:rPr>
                <w:sz w:val="20"/>
              </w:rPr>
            </w:pPr>
            <w:r w:rsidRPr="00B268EA">
              <w:rPr>
                <w:sz w:val="20"/>
                <w:szCs w:val="20"/>
              </w:rPr>
              <w:sym w:font="Wingdings 2" w:char="F050"/>
            </w:r>
          </w:p>
        </w:tc>
      </w:tr>
      <w:tr w:rsidR="004D17D6" w:rsidRPr="000F38FD" w:rsidTr="001E3EC0">
        <w:trPr>
          <w:cantSplit/>
        </w:trPr>
        <w:tc>
          <w:tcPr>
            <w:tcW w:w="6629" w:type="dxa"/>
            <w:tcBorders>
              <w:left w:val="single" w:sz="4" w:space="0" w:color="808080"/>
            </w:tcBorders>
            <w:vAlign w:val="bottom"/>
          </w:tcPr>
          <w:p w:rsidR="004D17D6" w:rsidRPr="00B268EA" w:rsidRDefault="004D17D6" w:rsidP="001E3EC0">
            <w:pPr>
              <w:ind w:left="454"/>
              <w:jc w:val="left"/>
              <w:rPr>
                <w:sz w:val="20"/>
              </w:rPr>
            </w:pPr>
            <w:r w:rsidRPr="00B268EA">
              <w:rPr>
                <w:sz w:val="20"/>
              </w:rPr>
              <w:t>Psychology</w:t>
            </w:r>
          </w:p>
        </w:tc>
        <w:tc>
          <w:tcPr>
            <w:tcW w:w="1176" w:type="dxa"/>
            <w:tcBorders>
              <w:right w:val="single" w:sz="4" w:space="0" w:color="808080"/>
            </w:tcBorders>
            <w:vAlign w:val="bottom"/>
          </w:tcPr>
          <w:p w:rsidR="004D17D6" w:rsidRPr="00B268EA"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B268EA" w:rsidRDefault="004D17D6" w:rsidP="001E3EC0">
            <w:pPr>
              <w:ind w:left="454"/>
              <w:jc w:val="left"/>
              <w:rPr>
                <w:sz w:val="20"/>
              </w:rPr>
            </w:pPr>
            <w:r w:rsidRPr="00B268EA">
              <w:rPr>
                <w:sz w:val="20"/>
              </w:rPr>
              <w:t>Others in biological sciences</w:t>
            </w:r>
          </w:p>
        </w:tc>
        <w:tc>
          <w:tcPr>
            <w:tcW w:w="1176" w:type="dxa"/>
            <w:tcBorders>
              <w:right w:val="single" w:sz="4" w:space="0" w:color="808080"/>
            </w:tcBorders>
            <w:vAlign w:val="bottom"/>
          </w:tcPr>
          <w:p w:rsidR="004D17D6" w:rsidRPr="00B268EA"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jc w:val="left"/>
              <w:rPr>
                <w:sz w:val="20"/>
              </w:rPr>
            </w:pPr>
            <w:r>
              <w:rPr>
                <w:sz w:val="20"/>
              </w:rPr>
              <w:t xml:space="preserve">D </w:t>
            </w:r>
            <w:r w:rsidRPr="009F2400">
              <w:rPr>
                <w:sz w:val="20"/>
              </w:rPr>
              <w:t>Veterinary science</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Pre-clinical veterinary medicine</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Clinical veterinary medicine and dentistry</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jc w:val="left"/>
              <w:rPr>
                <w:sz w:val="20"/>
              </w:rPr>
            </w:pPr>
            <w:r>
              <w:rPr>
                <w:sz w:val="20"/>
              </w:rPr>
              <w:t xml:space="preserve">D </w:t>
            </w:r>
            <w:r w:rsidRPr="009F2400">
              <w:rPr>
                <w:sz w:val="20"/>
              </w:rPr>
              <w:t>Agriculture and related subjects</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Broadly based programmes within agriculture and related subjects</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Animal science</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Agriculture</w:t>
            </w:r>
          </w:p>
        </w:tc>
        <w:tc>
          <w:tcPr>
            <w:tcW w:w="1176" w:type="dxa"/>
            <w:tcBorders>
              <w:right w:val="single" w:sz="4" w:space="0" w:color="808080"/>
            </w:tcBorders>
            <w:vAlign w:val="bottom"/>
          </w:tcPr>
          <w:p w:rsidR="004D17D6" w:rsidRPr="009F2400" w:rsidRDefault="004D17D6" w:rsidP="001E3EC0">
            <w:pPr>
              <w:jc w:val="center"/>
              <w:rPr>
                <w:sz w:val="20"/>
              </w:rPr>
            </w:pPr>
            <w:r w:rsidRPr="009F2400">
              <w:rPr>
                <w:sz w:val="20"/>
                <w:szCs w:val="20"/>
              </w:rPr>
              <w:sym w:font="Wingdings 2" w:char="F050"/>
            </w: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Forestry</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Food and beverage studies</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Agricultural sciences</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Others in veterinary sciences, agriculture and related subjects</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jc w:val="left"/>
              <w:rPr>
                <w:sz w:val="20"/>
              </w:rPr>
            </w:pPr>
            <w:r>
              <w:rPr>
                <w:sz w:val="20"/>
              </w:rPr>
              <w:t xml:space="preserve">F </w:t>
            </w:r>
            <w:r w:rsidRPr="009F2400">
              <w:rPr>
                <w:sz w:val="20"/>
              </w:rPr>
              <w:t>Physical sciences</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Broadly based programmes within physical sciences</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Chemistry</w:t>
            </w:r>
          </w:p>
        </w:tc>
        <w:tc>
          <w:tcPr>
            <w:tcW w:w="1176" w:type="dxa"/>
            <w:tcBorders>
              <w:right w:val="single" w:sz="4" w:space="0" w:color="808080"/>
            </w:tcBorders>
            <w:vAlign w:val="bottom"/>
          </w:tcPr>
          <w:p w:rsidR="004D17D6" w:rsidRPr="009F2400" w:rsidRDefault="004D17D6" w:rsidP="001E3EC0">
            <w:pPr>
              <w:jc w:val="center"/>
              <w:rPr>
                <w:sz w:val="20"/>
              </w:rPr>
            </w:pPr>
            <w:r w:rsidRPr="009F2400">
              <w:rPr>
                <w:sz w:val="20"/>
                <w:szCs w:val="20"/>
              </w:rPr>
              <w:sym w:font="Wingdings 2" w:char="F050"/>
            </w: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Materials sciences</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Physics</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Forensic and archaeological science</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Astronomy</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Geology</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Science and aquatic and terrestrial environments</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C749AE">
            <w:pPr>
              <w:ind w:left="454"/>
              <w:jc w:val="left"/>
              <w:rPr>
                <w:sz w:val="20"/>
              </w:rPr>
            </w:pPr>
            <w:r w:rsidRPr="009F2400">
              <w:rPr>
                <w:sz w:val="20"/>
              </w:rPr>
              <w:t>Physical geographical sciences</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Others in physical sciences</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jc w:val="left"/>
              <w:rPr>
                <w:sz w:val="20"/>
              </w:rPr>
            </w:pPr>
            <w:r>
              <w:rPr>
                <w:sz w:val="20"/>
              </w:rPr>
              <w:t xml:space="preserve">G </w:t>
            </w:r>
            <w:r w:rsidRPr="009F2400">
              <w:rPr>
                <w:sz w:val="20"/>
              </w:rPr>
              <w:t>Mathematical sciences</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Broadly based programmes within mathematical sciences</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Mathematics</w:t>
            </w:r>
          </w:p>
        </w:tc>
        <w:tc>
          <w:tcPr>
            <w:tcW w:w="1176" w:type="dxa"/>
            <w:tcBorders>
              <w:right w:val="single" w:sz="4" w:space="0" w:color="808080"/>
            </w:tcBorders>
            <w:vAlign w:val="bottom"/>
          </w:tcPr>
          <w:p w:rsidR="004D17D6" w:rsidRPr="009F2400" w:rsidRDefault="004D17D6" w:rsidP="001E3EC0">
            <w:pPr>
              <w:jc w:val="center"/>
              <w:rPr>
                <w:sz w:val="20"/>
              </w:rPr>
            </w:pPr>
            <w:r w:rsidRPr="009F2400">
              <w:rPr>
                <w:sz w:val="20"/>
                <w:szCs w:val="20"/>
              </w:rPr>
              <w:sym w:font="Wingdings 2" w:char="F050"/>
            </w: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Operational research</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Statistics</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Others in mathematical sciences</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jc w:val="left"/>
              <w:rPr>
                <w:sz w:val="20"/>
              </w:rPr>
            </w:pPr>
            <w:r>
              <w:rPr>
                <w:sz w:val="20"/>
              </w:rPr>
              <w:t xml:space="preserve">G </w:t>
            </w:r>
            <w:r w:rsidRPr="009F2400">
              <w:rPr>
                <w:sz w:val="20"/>
              </w:rPr>
              <w:t>Computer science</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Broadly based programmes within computer science</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Computer science</w:t>
            </w:r>
          </w:p>
        </w:tc>
        <w:tc>
          <w:tcPr>
            <w:tcW w:w="1176" w:type="dxa"/>
            <w:tcBorders>
              <w:right w:val="single" w:sz="4" w:space="0" w:color="808080"/>
            </w:tcBorders>
            <w:vAlign w:val="bottom"/>
          </w:tcPr>
          <w:p w:rsidR="004D17D6" w:rsidRPr="009F2400" w:rsidRDefault="004D17D6" w:rsidP="001E3EC0">
            <w:pPr>
              <w:jc w:val="center"/>
              <w:rPr>
                <w:sz w:val="20"/>
              </w:rPr>
            </w:pPr>
            <w:r w:rsidRPr="009F2400">
              <w:rPr>
                <w:sz w:val="20"/>
                <w:szCs w:val="20"/>
              </w:rPr>
              <w:sym w:font="Wingdings 2" w:char="F050"/>
            </w: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Information systems</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Software engineering</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Artificial intelligence</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Others in computing science</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jc w:val="left"/>
              <w:rPr>
                <w:sz w:val="20"/>
              </w:rPr>
            </w:pPr>
            <w:r>
              <w:rPr>
                <w:sz w:val="20"/>
              </w:rPr>
              <w:t xml:space="preserve">H, J </w:t>
            </w:r>
            <w:r w:rsidRPr="009F2400">
              <w:rPr>
                <w:sz w:val="20"/>
              </w:rPr>
              <w:t>Engineering and technology</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Broadly based programmes within engineering and technology</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General engineering</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Civil engineering</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Mechanical engineering</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Aerospace engineering</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Naval architecture</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Electronic and electrical engineering</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Production and manufacturing engineering</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Chemical, process and energy engineering</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Others in engineering</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Minerals technology</w:t>
            </w:r>
          </w:p>
        </w:tc>
        <w:tc>
          <w:tcPr>
            <w:tcW w:w="1176" w:type="dxa"/>
            <w:tcBorders>
              <w:right w:val="single" w:sz="4" w:space="0" w:color="808080"/>
            </w:tcBorders>
            <w:vAlign w:val="bottom"/>
          </w:tcPr>
          <w:p w:rsidR="004D17D6" w:rsidRPr="009F2400" w:rsidRDefault="004D17D6" w:rsidP="001E3EC0">
            <w:pPr>
              <w:jc w:val="center"/>
              <w:rPr>
                <w:sz w:val="20"/>
              </w:rPr>
            </w:pPr>
            <w:r w:rsidRPr="009F2400">
              <w:rPr>
                <w:sz w:val="20"/>
                <w:szCs w:val="20"/>
              </w:rPr>
              <w:sym w:font="Wingdings 2" w:char="F050"/>
            </w: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Metallurgy</w:t>
            </w:r>
          </w:p>
        </w:tc>
        <w:tc>
          <w:tcPr>
            <w:tcW w:w="1176" w:type="dxa"/>
            <w:tcBorders>
              <w:right w:val="single" w:sz="4" w:space="0" w:color="808080"/>
            </w:tcBorders>
            <w:vAlign w:val="bottom"/>
          </w:tcPr>
          <w:p w:rsidR="004D17D6" w:rsidRPr="009F2400" w:rsidRDefault="004D17D6" w:rsidP="001E3EC0">
            <w:pPr>
              <w:jc w:val="center"/>
              <w:rPr>
                <w:sz w:val="20"/>
              </w:rPr>
            </w:pPr>
            <w:r w:rsidRPr="009F2400">
              <w:rPr>
                <w:sz w:val="20"/>
                <w:szCs w:val="20"/>
              </w:rPr>
              <w:sym w:font="Wingdings 2" w:char="F050"/>
            </w: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Ceramics and glasses</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Polymers and textiles</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Materials technology not otherwise specified</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Maritime technology</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C749AE">
            <w:pPr>
              <w:ind w:left="454"/>
              <w:jc w:val="left"/>
              <w:rPr>
                <w:sz w:val="20"/>
              </w:rPr>
            </w:pPr>
            <w:r>
              <w:rPr>
                <w:sz w:val="20"/>
              </w:rPr>
              <w:t>Industrial b</w:t>
            </w:r>
            <w:r w:rsidRPr="009F2400">
              <w:rPr>
                <w:sz w:val="20"/>
              </w:rPr>
              <w:t>iotechnology</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Others in technology</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jc w:val="left"/>
              <w:rPr>
                <w:sz w:val="20"/>
              </w:rPr>
            </w:pPr>
            <w:r>
              <w:rPr>
                <w:sz w:val="20"/>
              </w:rPr>
              <w:t xml:space="preserve">K </w:t>
            </w:r>
            <w:r w:rsidRPr="009F2400">
              <w:rPr>
                <w:sz w:val="20"/>
              </w:rPr>
              <w:t>Architecture, building and planning</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Broadly based programmes within architecture, building and planning</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Architecture</w:t>
            </w:r>
          </w:p>
        </w:tc>
        <w:tc>
          <w:tcPr>
            <w:tcW w:w="1176" w:type="dxa"/>
            <w:tcBorders>
              <w:right w:val="single" w:sz="4" w:space="0" w:color="808080"/>
            </w:tcBorders>
            <w:vAlign w:val="bottom"/>
          </w:tcPr>
          <w:p w:rsidR="004D17D6" w:rsidRPr="009F2400" w:rsidRDefault="004D17D6" w:rsidP="001E3EC0">
            <w:pPr>
              <w:jc w:val="center"/>
              <w:rPr>
                <w:sz w:val="20"/>
              </w:rPr>
            </w:pPr>
            <w:r w:rsidRPr="009F2400">
              <w:rPr>
                <w:sz w:val="20"/>
                <w:szCs w:val="20"/>
              </w:rPr>
              <w:sym w:font="Wingdings 2" w:char="F050"/>
            </w: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Building</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Landscape design</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Planning (urban, rural and regional)</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Others in architecture, building and planning</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jc w:val="left"/>
              <w:rPr>
                <w:sz w:val="20"/>
              </w:rPr>
            </w:pPr>
            <w:r>
              <w:rPr>
                <w:sz w:val="20"/>
              </w:rPr>
              <w:t xml:space="preserve">L </w:t>
            </w:r>
            <w:r w:rsidRPr="009F2400">
              <w:rPr>
                <w:sz w:val="20"/>
              </w:rPr>
              <w:t>Social studies</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Broadly based programmes within social studies</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Economics</w:t>
            </w:r>
          </w:p>
        </w:tc>
        <w:tc>
          <w:tcPr>
            <w:tcW w:w="1176" w:type="dxa"/>
            <w:tcBorders>
              <w:right w:val="single" w:sz="4" w:space="0" w:color="808080"/>
            </w:tcBorders>
            <w:vAlign w:val="bottom"/>
          </w:tcPr>
          <w:p w:rsidR="004D17D6" w:rsidRPr="009F2400" w:rsidRDefault="004D17D6" w:rsidP="001E3EC0">
            <w:pPr>
              <w:jc w:val="center"/>
              <w:rPr>
                <w:sz w:val="20"/>
              </w:rPr>
            </w:pPr>
            <w:r w:rsidRPr="009F2400">
              <w:rPr>
                <w:sz w:val="20"/>
                <w:szCs w:val="20"/>
              </w:rPr>
              <w:sym w:font="Wingdings 2" w:char="F050"/>
            </w: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Politics</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Sociology</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Social policy</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Social work</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Anthropology</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Human and social geography</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Others in social studies</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jc w:val="left"/>
              <w:rPr>
                <w:sz w:val="20"/>
              </w:rPr>
            </w:pPr>
            <w:r>
              <w:rPr>
                <w:sz w:val="20"/>
              </w:rPr>
              <w:t xml:space="preserve">M </w:t>
            </w:r>
            <w:r w:rsidRPr="009F2400">
              <w:rPr>
                <w:sz w:val="20"/>
              </w:rPr>
              <w:t>Law</w:t>
            </w:r>
          </w:p>
        </w:tc>
        <w:tc>
          <w:tcPr>
            <w:tcW w:w="1176" w:type="dxa"/>
            <w:tcBorders>
              <w:right w:val="single" w:sz="4" w:space="0" w:color="808080"/>
            </w:tcBorders>
            <w:vAlign w:val="bottom"/>
          </w:tcPr>
          <w:p w:rsidR="004D17D6" w:rsidRPr="009F2400" w:rsidRDefault="004D17D6" w:rsidP="001E3EC0">
            <w:pPr>
              <w:jc w:val="center"/>
              <w:rPr>
                <w:sz w:val="20"/>
              </w:rPr>
            </w:pPr>
            <w:r w:rsidRPr="009F2400">
              <w:rPr>
                <w:sz w:val="20"/>
                <w:szCs w:val="20"/>
              </w:rPr>
              <w:sym w:font="Wingdings 2" w:char="F050"/>
            </w: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Broadly based programmes within Law</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Law by area</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Law by topic</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0F38FD" w:rsidTr="001E3EC0">
        <w:trPr>
          <w:cantSplit/>
        </w:trPr>
        <w:tc>
          <w:tcPr>
            <w:tcW w:w="6629" w:type="dxa"/>
            <w:tcBorders>
              <w:left w:val="single" w:sz="4" w:space="0" w:color="808080"/>
            </w:tcBorders>
            <w:vAlign w:val="bottom"/>
          </w:tcPr>
          <w:p w:rsidR="004D17D6" w:rsidRPr="009F2400" w:rsidRDefault="004D17D6" w:rsidP="001E3EC0">
            <w:pPr>
              <w:ind w:left="454"/>
              <w:jc w:val="left"/>
              <w:rPr>
                <w:sz w:val="20"/>
              </w:rPr>
            </w:pPr>
            <w:r w:rsidRPr="009F2400">
              <w:rPr>
                <w:sz w:val="20"/>
              </w:rPr>
              <w:t>Others in Law</w:t>
            </w:r>
          </w:p>
        </w:tc>
        <w:tc>
          <w:tcPr>
            <w:tcW w:w="1176" w:type="dxa"/>
            <w:tcBorders>
              <w:right w:val="single" w:sz="4" w:space="0" w:color="808080"/>
            </w:tcBorders>
            <w:vAlign w:val="bottom"/>
          </w:tcPr>
          <w:p w:rsidR="004D17D6" w:rsidRPr="009F2400"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jc w:val="left"/>
              <w:rPr>
                <w:sz w:val="20"/>
              </w:rPr>
            </w:pPr>
            <w:r>
              <w:rPr>
                <w:sz w:val="20"/>
              </w:rPr>
              <w:t xml:space="preserve">N </w:t>
            </w:r>
            <w:r w:rsidRPr="00627914">
              <w:rPr>
                <w:sz w:val="20"/>
              </w:rPr>
              <w:t>Business and administrative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Broadly based programmes within business and administrative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Business studies</w:t>
            </w:r>
          </w:p>
        </w:tc>
        <w:tc>
          <w:tcPr>
            <w:tcW w:w="1176" w:type="dxa"/>
            <w:tcBorders>
              <w:right w:val="single" w:sz="4" w:space="0" w:color="808080"/>
            </w:tcBorders>
            <w:vAlign w:val="bottom"/>
          </w:tcPr>
          <w:p w:rsidR="004D17D6" w:rsidRPr="00627914" w:rsidRDefault="004D17D6" w:rsidP="001E3EC0">
            <w:pPr>
              <w:jc w:val="center"/>
              <w:rPr>
                <w:sz w:val="20"/>
              </w:rPr>
            </w:pPr>
            <w:r w:rsidRPr="00627914">
              <w:rPr>
                <w:sz w:val="20"/>
                <w:szCs w:val="20"/>
              </w:rPr>
              <w:sym w:font="Wingdings 2" w:char="F050"/>
            </w: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Management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Finance</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Accounting</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Marketing</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Human resource management</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Office skills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Hospitality, leisure, tourism and transport</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Others in business and administrative skills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jc w:val="left"/>
              <w:rPr>
                <w:sz w:val="20"/>
              </w:rPr>
            </w:pPr>
            <w:r>
              <w:rPr>
                <w:sz w:val="20"/>
              </w:rPr>
              <w:t xml:space="preserve">P </w:t>
            </w:r>
            <w:r w:rsidRPr="00627914">
              <w:rPr>
                <w:sz w:val="20"/>
              </w:rPr>
              <w:t>Mass communications and documentation</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Broadly based programmes within mass communication and documentation</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Information services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Publicity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Media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Publishing</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Journalism</w:t>
            </w:r>
          </w:p>
        </w:tc>
        <w:tc>
          <w:tcPr>
            <w:tcW w:w="1176" w:type="dxa"/>
            <w:tcBorders>
              <w:right w:val="single" w:sz="4" w:space="0" w:color="808080"/>
            </w:tcBorders>
            <w:vAlign w:val="bottom"/>
          </w:tcPr>
          <w:p w:rsidR="004D17D6" w:rsidRPr="00627914" w:rsidRDefault="004D17D6" w:rsidP="001E3EC0">
            <w:pPr>
              <w:jc w:val="center"/>
              <w:rPr>
                <w:sz w:val="20"/>
              </w:rPr>
            </w:pPr>
            <w:r w:rsidRPr="00627914">
              <w:rPr>
                <w:sz w:val="20"/>
                <w:szCs w:val="20"/>
              </w:rPr>
              <w:sym w:font="Wingdings 2" w:char="F050"/>
            </w: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Others in mass communication and documentation</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C749AE">
            <w:pPr>
              <w:jc w:val="left"/>
              <w:rPr>
                <w:sz w:val="20"/>
              </w:rPr>
            </w:pPr>
            <w:r>
              <w:rPr>
                <w:sz w:val="20"/>
              </w:rPr>
              <w:t xml:space="preserve">Q, R, T </w:t>
            </w:r>
            <w:r w:rsidRPr="00627914">
              <w:rPr>
                <w:sz w:val="20"/>
              </w:rPr>
              <w:t>Languages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Default="004D17D6" w:rsidP="009C7496">
            <w:pPr>
              <w:ind w:left="454"/>
              <w:jc w:val="left"/>
              <w:rPr>
                <w:sz w:val="20"/>
              </w:rPr>
            </w:pPr>
            <w:r w:rsidRPr="00627914">
              <w:rPr>
                <w:sz w:val="20"/>
              </w:rPr>
              <w:t xml:space="preserve">Broadly based programmes within </w:t>
            </w:r>
            <w:r>
              <w:rPr>
                <w:sz w:val="20"/>
              </w:rPr>
              <w:t>languages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Default="004D17D6" w:rsidP="009C7496">
            <w:pPr>
              <w:ind w:left="454"/>
              <w:jc w:val="left"/>
              <w:rPr>
                <w:sz w:val="20"/>
              </w:rPr>
            </w:pPr>
            <w:r>
              <w:rPr>
                <w:sz w:val="20"/>
              </w:rPr>
              <w:t>Linguistics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Default="004D17D6" w:rsidP="009C7496">
            <w:pPr>
              <w:ind w:left="454"/>
              <w:jc w:val="left"/>
              <w:rPr>
                <w:sz w:val="20"/>
              </w:rPr>
            </w:pPr>
            <w:r>
              <w:rPr>
                <w:sz w:val="20"/>
              </w:rPr>
              <w:t xml:space="preserve"> Comparative literary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Default="004D17D6" w:rsidP="009C7496">
            <w:pPr>
              <w:ind w:left="454"/>
              <w:jc w:val="left"/>
              <w:rPr>
                <w:sz w:val="20"/>
              </w:rPr>
            </w:pPr>
            <w:r>
              <w:rPr>
                <w:sz w:val="20"/>
              </w:rPr>
              <w:t>English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Default="004D17D6" w:rsidP="009C7496">
            <w:pPr>
              <w:ind w:left="454"/>
              <w:jc w:val="left"/>
              <w:rPr>
                <w:sz w:val="20"/>
              </w:rPr>
            </w:pPr>
            <w:r>
              <w:rPr>
                <w:sz w:val="20"/>
              </w:rPr>
              <w:t>Ancient language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Default="004D17D6" w:rsidP="009C7496">
            <w:pPr>
              <w:ind w:left="454"/>
              <w:jc w:val="left"/>
              <w:rPr>
                <w:sz w:val="20"/>
              </w:rPr>
            </w:pPr>
            <w:r>
              <w:rPr>
                <w:sz w:val="20"/>
              </w:rPr>
              <w:t>Celtic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Default="004D17D6" w:rsidP="009C7496">
            <w:pPr>
              <w:ind w:left="454"/>
              <w:jc w:val="left"/>
              <w:rPr>
                <w:sz w:val="20"/>
              </w:rPr>
            </w:pPr>
            <w:r>
              <w:rPr>
                <w:sz w:val="20"/>
              </w:rPr>
              <w:t>Latin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Default="004D17D6" w:rsidP="009C7496">
            <w:pPr>
              <w:ind w:left="454"/>
              <w:jc w:val="left"/>
              <w:rPr>
                <w:sz w:val="20"/>
              </w:rPr>
            </w:pPr>
            <w:r>
              <w:rPr>
                <w:sz w:val="20"/>
              </w:rPr>
              <w:t>Classical Greek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Default="004D17D6" w:rsidP="009C7496">
            <w:pPr>
              <w:ind w:left="454"/>
              <w:jc w:val="left"/>
              <w:rPr>
                <w:sz w:val="20"/>
              </w:rPr>
            </w:pPr>
            <w:r>
              <w:rPr>
                <w:sz w:val="20"/>
              </w:rPr>
              <w:t>Classical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Default="004D17D6" w:rsidP="009C7496">
            <w:pPr>
              <w:ind w:left="454"/>
              <w:jc w:val="left"/>
              <w:rPr>
                <w:sz w:val="20"/>
              </w:rPr>
            </w:pPr>
            <w:r>
              <w:rPr>
                <w:sz w:val="20"/>
              </w:rPr>
              <w:t>Others in linguistics, classics and related subjects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Default="004D17D6" w:rsidP="009C7496">
            <w:pPr>
              <w:ind w:left="454"/>
              <w:jc w:val="left"/>
              <w:rPr>
                <w:sz w:val="20"/>
              </w:rPr>
            </w:pPr>
            <w:r>
              <w:rPr>
                <w:sz w:val="20"/>
              </w:rPr>
              <w:t>French studies</w:t>
            </w:r>
          </w:p>
        </w:tc>
        <w:tc>
          <w:tcPr>
            <w:tcW w:w="1176" w:type="dxa"/>
            <w:tcBorders>
              <w:right w:val="single" w:sz="4" w:space="0" w:color="808080"/>
            </w:tcBorders>
            <w:vAlign w:val="bottom"/>
          </w:tcPr>
          <w:p w:rsidR="004D17D6" w:rsidRPr="00627914" w:rsidRDefault="004D17D6" w:rsidP="001E3EC0">
            <w:pPr>
              <w:jc w:val="center"/>
              <w:rPr>
                <w:sz w:val="20"/>
              </w:rPr>
            </w:pPr>
            <w:r w:rsidRPr="00627914">
              <w:rPr>
                <w:sz w:val="20"/>
                <w:szCs w:val="20"/>
              </w:rPr>
              <w:sym w:font="Wingdings 2" w:char="F050"/>
            </w:r>
          </w:p>
        </w:tc>
      </w:tr>
      <w:tr w:rsidR="004D17D6" w:rsidRPr="00627914" w:rsidTr="001E3EC0">
        <w:trPr>
          <w:cantSplit/>
        </w:trPr>
        <w:tc>
          <w:tcPr>
            <w:tcW w:w="6629" w:type="dxa"/>
            <w:tcBorders>
              <w:left w:val="single" w:sz="4" w:space="0" w:color="808080"/>
            </w:tcBorders>
            <w:vAlign w:val="bottom"/>
          </w:tcPr>
          <w:p w:rsidR="004D17D6" w:rsidRDefault="004D17D6" w:rsidP="009C7496">
            <w:pPr>
              <w:ind w:left="454"/>
              <w:jc w:val="left"/>
              <w:rPr>
                <w:sz w:val="20"/>
              </w:rPr>
            </w:pPr>
            <w:r>
              <w:rPr>
                <w:sz w:val="20"/>
              </w:rPr>
              <w:t>German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Default="004D17D6" w:rsidP="009C7496">
            <w:pPr>
              <w:ind w:left="454"/>
              <w:jc w:val="left"/>
              <w:rPr>
                <w:sz w:val="20"/>
              </w:rPr>
            </w:pPr>
            <w:r>
              <w:rPr>
                <w:sz w:val="20"/>
              </w:rPr>
              <w:t>Italian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Default="004D17D6" w:rsidP="009C7496">
            <w:pPr>
              <w:ind w:left="454"/>
              <w:jc w:val="left"/>
              <w:rPr>
                <w:sz w:val="20"/>
              </w:rPr>
            </w:pPr>
            <w:r>
              <w:rPr>
                <w:sz w:val="20"/>
              </w:rPr>
              <w:t>Spanish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Default="004D17D6" w:rsidP="009C7496">
            <w:pPr>
              <w:ind w:left="454"/>
              <w:jc w:val="left"/>
              <w:rPr>
                <w:sz w:val="20"/>
              </w:rPr>
            </w:pPr>
            <w:r>
              <w:rPr>
                <w:sz w:val="20"/>
              </w:rPr>
              <w:t>Portuguese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Default="004D17D6" w:rsidP="009C7496">
            <w:pPr>
              <w:ind w:left="454"/>
              <w:jc w:val="left"/>
              <w:rPr>
                <w:sz w:val="20"/>
              </w:rPr>
            </w:pPr>
            <w:r>
              <w:rPr>
                <w:sz w:val="20"/>
              </w:rPr>
              <w:t>Scandinavian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Default="004D17D6" w:rsidP="009C7496">
            <w:pPr>
              <w:ind w:left="454"/>
              <w:jc w:val="left"/>
              <w:rPr>
                <w:sz w:val="20"/>
              </w:rPr>
            </w:pPr>
            <w:r>
              <w:rPr>
                <w:sz w:val="20"/>
              </w:rPr>
              <w:t>Russian and East European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Default="004D17D6" w:rsidP="009C7496">
            <w:pPr>
              <w:ind w:left="454"/>
              <w:jc w:val="left"/>
              <w:rPr>
                <w:sz w:val="20"/>
              </w:rPr>
            </w:pPr>
            <w:r>
              <w:rPr>
                <w:sz w:val="20"/>
              </w:rPr>
              <w:t>Others in European languages, literature and related subjects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Del="00BC59D6" w:rsidRDefault="004D17D6" w:rsidP="009C7496">
            <w:pPr>
              <w:ind w:left="454"/>
              <w:jc w:val="left"/>
              <w:rPr>
                <w:sz w:val="20"/>
              </w:rPr>
            </w:pPr>
            <w:r>
              <w:rPr>
                <w:sz w:val="20"/>
              </w:rPr>
              <w:t>Chinese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Del="00BC59D6" w:rsidRDefault="004D17D6" w:rsidP="009C7496">
            <w:pPr>
              <w:ind w:left="454"/>
              <w:jc w:val="left"/>
              <w:rPr>
                <w:sz w:val="20"/>
              </w:rPr>
            </w:pPr>
            <w:r>
              <w:rPr>
                <w:sz w:val="20"/>
              </w:rPr>
              <w:t>Japanese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Del="00BC59D6" w:rsidRDefault="004D17D6" w:rsidP="009C7496">
            <w:pPr>
              <w:ind w:left="454"/>
              <w:jc w:val="left"/>
              <w:rPr>
                <w:sz w:val="20"/>
              </w:rPr>
            </w:pPr>
            <w:r>
              <w:rPr>
                <w:sz w:val="20"/>
              </w:rPr>
              <w:t>South Asian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Del="00BC59D6" w:rsidRDefault="004D17D6" w:rsidP="009C7496">
            <w:pPr>
              <w:ind w:left="454"/>
              <w:jc w:val="left"/>
              <w:rPr>
                <w:sz w:val="20"/>
              </w:rPr>
            </w:pPr>
            <w:r>
              <w:rPr>
                <w:sz w:val="20"/>
              </w:rPr>
              <w:t>Other Asian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Del="00BC59D6" w:rsidRDefault="004D17D6" w:rsidP="009C7496">
            <w:pPr>
              <w:ind w:left="454"/>
              <w:jc w:val="left"/>
              <w:rPr>
                <w:sz w:val="20"/>
              </w:rPr>
            </w:pPr>
            <w:r>
              <w:rPr>
                <w:sz w:val="20"/>
              </w:rPr>
              <w:t>African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Del="00BC59D6" w:rsidRDefault="004D17D6" w:rsidP="009C7496">
            <w:pPr>
              <w:ind w:left="454"/>
              <w:jc w:val="left"/>
              <w:rPr>
                <w:sz w:val="20"/>
              </w:rPr>
            </w:pPr>
            <w:r>
              <w:rPr>
                <w:sz w:val="20"/>
              </w:rPr>
              <w:t>Modern Middle Eastern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Del="00BC59D6" w:rsidRDefault="004D17D6" w:rsidP="009C7496">
            <w:pPr>
              <w:ind w:left="454"/>
              <w:jc w:val="left"/>
              <w:rPr>
                <w:sz w:val="20"/>
              </w:rPr>
            </w:pPr>
            <w:r>
              <w:rPr>
                <w:sz w:val="20"/>
              </w:rPr>
              <w:t>American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Del="00BC59D6" w:rsidRDefault="004D17D6" w:rsidP="009C7496">
            <w:pPr>
              <w:ind w:left="454"/>
              <w:jc w:val="left"/>
              <w:rPr>
                <w:sz w:val="20"/>
              </w:rPr>
            </w:pPr>
            <w:r>
              <w:rPr>
                <w:sz w:val="20"/>
              </w:rPr>
              <w:t>Australasian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Default="004D17D6" w:rsidP="009C7496">
            <w:pPr>
              <w:ind w:left="454"/>
              <w:jc w:val="left"/>
              <w:rPr>
                <w:sz w:val="20"/>
              </w:rPr>
            </w:pPr>
            <w:r>
              <w:rPr>
                <w:sz w:val="20"/>
              </w:rPr>
              <w:t xml:space="preserve"> Others in Eastern, Asiatic, African, American and Australasian languages and related subjects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jc w:val="left"/>
              <w:rPr>
                <w:sz w:val="20"/>
              </w:rPr>
            </w:pPr>
            <w:r>
              <w:rPr>
                <w:sz w:val="20"/>
              </w:rPr>
              <w:t xml:space="preserve">V </w:t>
            </w:r>
            <w:r w:rsidRPr="00627914">
              <w:rPr>
                <w:sz w:val="20"/>
              </w:rPr>
              <w:t>Historical and philosophical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History</w:t>
            </w:r>
          </w:p>
        </w:tc>
        <w:tc>
          <w:tcPr>
            <w:tcW w:w="1176" w:type="dxa"/>
            <w:tcBorders>
              <w:right w:val="single" w:sz="4" w:space="0" w:color="808080"/>
            </w:tcBorders>
            <w:vAlign w:val="bottom"/>
          </w:tcPr>
          <w:p w:rsidR="004D17D6" w:rsidRPr="00627914" w:rsidRDefault="004D17D6" w:rsidP="001E3EC0">
            <w:pPr>
              <w:jc w:val="center"/>
              <w:rPr>
                <w:sz w:val="20"/>
              </w:rPr>
            </w:pPr>
            <w:r w:rsidRPr="00627914">
              <w:rPr>
                <w:sz w:val="20"/>
                <w:szCs w:val="20"/>
              </w:rPr>
              <w:sym w:font="Wingdings 2" w:char="F050"/>
            </w: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Archaeology</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Philosophy</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Theology and religious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Others in historical and philosophical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jc w:val="left"/>
              <w:rPr>
                <w:sz w:val="20"/>
              </w:rPr>
            </w:pPr>
            <w:r>
              <w:rPr>
                <w:sz w:val="20"/>
              </w:rPr>
              <w:t xml:space="preserve">W </w:t>
            </w:r>
            <w:r w:rsidRPr="00627914">
              <w:rPr>
                <w:sz w:val="20"/>
              </w:rPr>
              <w:t>Creative arts and design</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Fine Art</w:t>
            </w:r>
          </w:p>
        </w:tc>
        <w:tc>
          <w:tcPr>
            <w:tcW w:w="1176" w:type="dxa"/>
            <w:tcBorders>
              <w:right w:val="single" w:sz="4" w:space="0" w:color="808080"/>
            </w:tcBorders>
            <w:vAlign w:val="bottom"/>
          </w:tcPr>
          <w:p w:rsidR="004D17D6" w:rsidRPr="00627914" w:rsidRDefault="004D17D6" w:rsidP="001E3EC0">
            <w:pPr>
              <w:jc w:val="center"/>
              <w:rPr>
                <w:sz w:val="20"/>
              </w:rPr>
            </w:pPr>
            <w:r w:rsidRPr="00627914">
              <w:rPr>
                <w:sz w:val="20"/>
                <w:szCs w:val="20"/>
              </w:rPr>
              <w:sym w:font="Wingdings 2" w:char="F050"/>
            </w: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Design studies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Music</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Drama</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Dance</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Cinematics and photography</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Crafts</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Imaginative writing</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Others in creative arts and design</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jc w:val="left"/>
              <w:rPr>
                <w:sz w:val="20"/>
              </w:rPr>
            </w:pPr>
            <w:r>
              <w:rPr>
                <w:sz w:val="20"/>
              </w:rPr>
              <w:t xml:space="preserve">X </w:t>
            </w:r>
            <w:r w:rsidRPr="00627914">
              <w:rPr>
                <w:sz w:val="20"/>
              </w:rPr>
              <w:t>Education</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Training teachers</w:t>
            </w:r>
          </w:p>
        </w:tc>
        <w:tc>
          <w:tcPr>
            <w:tcW w:w="1176" w:type="dxa"/>
            <w:tcBorders>
              <w:right w:val="single" w:sz="4" w:space="0" w:color="808080"/>
            </w:tcBorders>
            <w:vAlign w:val="bottom"/>
          </w:tcPr>
          <w:p w:rsidR="004D17D6" w:rsidRPr="00627914" w:rsidRDefault="004D17D6" w:rsidP="001E3EC0">
            <w:pPr>
              <w:jc w:val="center"/>
              <w:rPr>
                <w:sz w:val="20"/>
              </w:rPr>
            </w:pPr>
            <w:r w:rsidRPr="00627914">
              <w:rPr>
                <w:sz w:val="20"/>
                <w:szCs w:val="20"/>
              </w:rPr>
              <w:sym w:font="Wingdings 2" w:char="F050"/>
            </w: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Research and study skills in education</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tcBorders>
            <w:vAlign w:val="bottom"/>
          </w:tcPr>
          <w:p w:rsidR="004D17D6" w:rsidRPr="00627914" w:rsidRDefault="004D17D6" w:rsidP="001E3EC0">
            <w:pPr>
              <w:ind w:left="454"/>
              <w:jc w:val="left"/>
              <w:rPr>
                <w:sz w:val="20"/>
              </w:rPr>
            </w:pPr>
            <w:r w:rsidRPr="00627914">
              <w:rPr>
                <w:sz w:val="20"/>
              </w:rPr>
              <w:t>Academic studies in education</w:t>
            </w:r>
          </w:p>
        </w:tc>
        <w:tc>
          <w:tcPr>
            <w:tcW w:w="1176" w:type="dxa"/>
            <w:tcBorders>
              <w:right w:val="single" w:sz="4" w:space="0" w:color="808080"/>
            </w:tcBorders>
            <w:vAlign w:val="bottom"/>
          </w:tcPr>
          <w:p w:rsidR="004D17D6" w:rsidRPr="00627914" w:rsidRDefault="004D17D6" w:rsidP="001E3EC0">
            <w:pPr>
              <w:jc w:val="center"/>
              <w:rPr>
                <w:sz w:val="20"/>
              </w:rPr>
            </w:pPr>
          </w:p>
        </w:tc>
      </w:tr>
      <w:tr w:rsidR="004D17D6" w:rsidRPr="00627914" w:rsidTr="001E3EC0">
        <w:trPr>
          <w:cantSplit/>
        </w:trPr>
        <w:tc>
          <w:tcPr>
            <w:tcW w:w="6629" w:type="dxa"/>
            <w:tcBorders>
              <w:left w:val="single" w:sz="4" w:space="0" w:color="808080"/>
              <w:bottom w:val="single" w:sz="4" w:space="0" w:color="808080"/>
            </w:tcBorders>
            <w:vAlign w:val="bottom"/>
          </w:tcPr>
          <w:p w:rsidR="004D17D6" w:rsidRPr="00627914" w:rsidRDefault="004D17D6" w:rsidP="001E3EC0">
            <w:pPr>
              <w:ind w:left="454"/>
              <w:jc w:val="left"/>
              <w:rPr>
                <w:sz w:val="20"/>
              </w:rPr>
            </w:pPr>
            <w:r w:rsidRPr="00627914">
              <w:rPr>
                <w:sz w:val="20"/>
              </w:rPr>
              <w:t>Others in education</w:t>
            </w:r>
          </w:p>
        </w:tc>
        <w:tc>
          <w:tcPr>
            <w:tcW w:w="1176" w:type="dxa"/>
            <w:tcBorders>
              <w:bottom w:val="single" w:sz="4" w:space="0" w:color="808080"/>
              <w:right w:val="single" w:sz="4" w:space="0" w:color="808080"/>
            </w:tcBorders>
          </w:tcPr>
          <w:p w:rsidR="004D17D6" w:rsidRPr="008C1A5D" w:rsidRDefault="004D17D6" w:rsidP="001E3EC0">
            <w:pPr>
              <w:jc w:val="center"/>
              <w:rPr>
                <w:sz w:val="20"/>
              </w:rPr>
            </w:pPr>
          </w:p>
        </w:tc>
      </w:tr>
    </w:tbl>
    <w:p w:rsidR="004D17D6" w:rsidRDefault="004D17D6" w:rsidP="00B268EA"/>
    <w:sectPr w:rsidR="004D17D6" w:rsidSect="007237EA">
      <w:pgSz w:w="11909" w:h="16834" w:code="9"/>
      <w:pgMar w:top="1872" w:right="2160" w:bottom="1872" w:left="2160" w:header="864" w:footer="864"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FC0" w:rsidRDefault="00975FC0">
      <w:r>
        <w:separator/>
      </w:r>
    </w:p>
  </w:endnote>
  <w:endnote w:type="continuationSeparator" w:id="0">
    <w:p w:rsidR="00975FC0" w:rsidRDefault="0097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DBF" w:rsidRDefault="00D97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7DBF" w:rsidRDefault="00D97D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DBF" w:rsidRDefault="00D97DBF">
    <w:pPr>
      <w:pStyle w:val="Footer"/>
      <w:tabs>
        <w:tab w:val="left" w:pos="360"/>
      </w:tabs>
      <w:ind w:left="360" w:hanging="360"/>
      <w:rPr>
        <w:b w:val="0"/>
        <w:i w:val="0"/>
      </w:rPr>
    </w:pPr>
    <w:r>
      <w:rPr>
        <w:b w:val="0"/>
        <w:i w:val="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DBF" w:rsidRDefault="00D97DBF">
    <w:pPr>
      <w:pStyle w:val="Footer"/>
      <w:framePr w:wrap="around" w:vAnchor="text" w:hAnchor="margin" w:xAlign="right" w:y="1"/>
      <w:rPr>
        <w:rStyle w:val="PageNumber"/>
        <w:rFonts w:ascii="Arial" w:hAnsi="Arial" w:cs="Arial"/>
      </w:rPr>
    </w:pPr>
    <w:r w:rsidRPr="00E37339">
      <w:rPr>
        <w:rStyle w:val="PageNumber"/>
        <w:rFonts w:ascii="Arial" w:hAnsi="Arial" w:cs="Arial"/>
      </w:rPr>
      <w:fldChar w:fldCharType="begin"/>
    </w:r>
    <w:r w:rsidRPr="00E37339">
      <w:rPr>
        <w:rStyle w:val="PageNumber"/>
        <w:rFonts w:ascii="Arial" w:hAnsi="Arial" w:cs="Arial"/>
      </w:rPr>
      <w:instrText xml:space="preserve">PAGE  </w:instrText>
    </w:r>
    <w:r w:rsidRPr="00E37339">
      <w:rPr>
        <w:rStyle w:val="PageNumber"/>
        <w:rFonts w:ascii="Arial" w:hAnsi="Arial" w:cs="Arial"/>
      </w:rPr>
      <w:fldChar w:fldCharType="separate"/>
    </w:r>
    <w:r>
      <w:rPr>
        <w:rStyle w:val="PageNumber"/>
        <w:rFonts w:ascii="Arial" w:hAnsi="Arial" w:cs="Arial"/>
        <w:noProof/>
      </w:rPr>
      <w:t>1</w:t>
    </w:r>
    <w:r w:rsidRPr="00E37339">
      <w:rPr>
        <w:rStyle w:val="PageNumber"/>
        <w:rFonts w:ascii="Arial" w:hAnsi="Arial" w:cs="Arial"/>
      </w:rPr>
      <w:fldChar w:fldCharType="end"/>
    </w:r>
  </w:p>
  <w:p w:rsidR="00D97DBF" w:rsidRPr="00E37339" w:rsidRDefault="00D97DBF">
    <w:pPr>
      <w:pStyle w:val="Footer"/>
      <w:rPr>
        <w:rFonts w:ascii="Arial" w:hAnsi="Arial" w:cs="Arial"/>
      </w:rPr>
    </w:pPr>
    <w:r>
      <w:br/>
    </w:r>
    <w:smartTag w:uri="urn:schemas-microsoft-com:office:smarttags" w:element="City">
      <w:smartTag w:uri="urn:schemas-microsoft-com:office:smarttags" w:element="place">
        <w:r w:rsidRPr="00E37339">
          <w:rPr>
            <w:rFonts w:ascii="Arial" w:hAnsi="Arial" w:cs="Arial"/>
          </w:rPr>
          <w:t>London</w:t>
        </w:r>
      </w:smartTag>
    </w:smartTag>
    <w:r w:rsidRPr="00E37339">
      <w:rPr>
        <w:rFonts w:ascii="Arial" w:hAnsi="Arial" w:cs="Arial"/>
      </w:rPr>
      <w:t xml:space="preserve"> Economics</w:t>
    </w:r>
  </w:p>
  <w:p w:rsidR="00D97DBF" w:rsidRDefault="00D97DBF">
    <w:pPr>
      <w:pStyle w:val="Footer"/>
    </w:pPr>
    <w:r>
      <w:rPr>
        <w:rFonts w:ascii="Arial" w:hAnsi="Arial" w:cs="Arial"/>
      </w:rPr>
      <w:t>August 2006</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DBF" w:rsidRPr="00A04C9F" w:rsidRDefault="00D97DBF" w:rsidP="007770D7">
    <w:pPr>
      <w:pStyle w:val="Footer"/>
      <w:pBdr>
        <w:bottom w:val="single" w:sz="4" w:space="1" w:color="auto"/>
      </w:pBdr>
      <w:ind w:right="-1"/>
      <w:rPr>
        <w:i w:val="0"/>
      </w:rPr>
    </w:pPr>
  </w:p>
  <w:p w:rsidR="00D97DBF" w:rsidRPr="00A04C9F" w:rsidRDefault="00D97DBF">
    <w:pPr>
      <w:pStyle w:val="Footer"/>
      <w:rPr>
        <w:rFonts w:cs="Arial"/>
        <w:b w:val="0"/>
        <w:i w:val="0"/>
      </w:rPr>
    </w:pPr>
    <w:r w:rsidRPr="00A04C9F">
      <w:rPr>
        <w:i w:val="0"/>
      </w:rPr>
      <w:br/>
    </w:r>
    <w:r w:rsidRPr="00A04C9F">
      <w:rPr>
        <w:rFonts w:cs="Arial"/>
        <w:b w:val="0"/>
        <w:i w:val="0"/>
      </w:rPr>
      <w:t>Kilner Planning</w:t>
    </w:r>
    <w:r w:rsidRPr="00A04C9F">
      <w:rPr>
        <w:rFonts w:cs="Arial"/>
        <w:b w:val="0"/>
        <w:i w:val="0"/>
      </w:rPr>
      <w:tab/>
    </w:r>
    <w:r w:rsidRPr="00A04C9F">
      <w:rPr>
        <w:rStyle w:val="PageNumber"/>
        <w:rFonts w:ascii="Calibri" w:hAnsi="Calibri"/>
        <w:b w:val="0"/>
        <w:i w:val="0"/>
      </w:rPr>
      <w:fldChar w:fldCharType="begin"/>
    </w:r>
    <w:r w:rsidRPr="00A04C9F">
      <w:rPr>
        <w:rStyle w:val="PageNumber"/>
        <w:rFonts w:ascii="Calibri" w:hAnsi="Calibri"/>
        <w:b w:val="0"/>
        <w:i w:val="0"/>
      </w:rPr>
      <w:instrText xml:space="preserve"> PAGE </w:instrText>
    </w:r>
    <w:r w:rsidRPr="00A04C9F">
      <w:rPr>
        <w:rStyle w:val="PageNumber"/>
        <w:rFonts w:ascii="Calibri" w:hAnsi="Calibri"/>
        <w:b w:val="0"/>
        <w:i w:val="0"/>
      </w:rPr>
      <w:fldChar w:fldCharType="separate"/>
    </w:r>
    <w:r w:rsidR="00B975BF">
      <w:rPr>
        <w:rStyle w:val="PageNumber"/>
        <w:rFonts w:ascii="Calibri" w:hAnsi="Calibri"/>
        <w:b w:val="0"/>
        <w:i w:val="0"/>
        <w:noProof/>
      </w:rPr>
      <w:t>21</w:t>
    </w:r>
    <w:r w:rsidRPr="00A04C9F">
      <w:rPr>
        <w:rStyle w:val="PageNumber"/>
        <w:rFonts w:ascii="Calibri" w:hAnsi="Calibri"/>
        <w:b w:val="0"/>
        <w:i w:val="0"/>
      </w:rPr>
      <w:fldChar w:fldCharType="end"/>
    </w:r>
  </w:p>
  <w:p w:rsidR="00D97DBF" w:rsidRPr="00A04C9F" w:rsidRDefault="00517342">
    <w:pPr>
      <w:pStyle w:val="Footer"/>
      <w:rPr>
        <w:b w:val="0"/>
        <w:i w:val="0"/>
      </w:rPr>
    </w:pPr>
    <w:r>
      <w:rPr>
        <w:rFonts w:cs="Arial"/>
        <w:b w:val="0"/>
        <w:i w:val="0"/>
      </w:rPr>
      <w:t xml:space="preserve">November </w:t>
    </w:r>
    <w:r w:rsidR="00D97DBF" w:rsidRPr="00A04C9F">
      <w:rPr>
        <w:rFonts w:cs="Arial"/>
        <w:b w:val="0"/>
        <w:i w:val="0"/>
      </w:rPr>
      <w:t>2010</w:t>
    </w:r>
    <w:r w:rsidR="00D97DBF" w:rsidRPr="00A04C9F">
      <w:rPr>
        <w:b w:val="0"/>
        <w:i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FC0" w:rsidRDefault="00975FC0">
      <w:r>
        <w:separator/>
      </w:r>
    </w:p>
  </w:footnote>
  <w:footnote w:type="continuationSeparator" w:id="0">
    <w:p w:rsidR="00975FC0" w:rsidRDefault="00975FC0">
      <w:r>
        <w:continuationSeparator/>
      </w:r>
    </w:p>
  </w:footnote>
  <w:footnote w:id="1">
    <w:p w:rsidR="00D97DBF" w:rsidRDefault="00D97DBF">
      <w:pPr>
        <w:pStyle w:val="FootnoteText"/>
      </w:pPr>
      <w:r>
        <w:rPr>
          <w:rStyle w:val="FootnoteReference"/>
        </w:rPr>
        <w:footnoteRef/>
      </w:r>
      <w:r>
        <w:t xml:space="preserve"> </w:t>
      </w:r>
      <w:hyperlink r:id="rId1" w:history="1">
        <w:r w:rsidRPr="006D4210">
          <w:rPr>
            <w:rStyle w:val="Hyperlink"/>
          </w:rPr>
          <w:t>http://www.smg.ac.uk/documents/spacenorms.pdf</w:t>
        </w:r>
      </w:hyperlink>
    </w:p>
  </w:footnote>
  <w:footnote w:id="2">
    <w:p w:rsidR="00D97DBF" w:rsidRDefault="00D97DBF">
      <w:pPr>
        <w:pStyle w:val="FootnoteText"/>
      </w:pPr>
      <w:r>
        <w:rPr>
          <w:rStyle w:val="FootnoteReference"/>
        </w:rPr>
        <w:footnoteRef/>
      </w:r>
      <w:r>
        <w:t xml:space="preserve"> </w:t>
      </w:r>
      <w:hyperlink r:id="rId2" w:history="1">
        <w:r w:rsidRPr="00AE68D6">
          <w:rPr>
            <w:rStyle w:val="Hyperlink"/>
          </w:rPr>
          <w:t>http://www.aude.ac.uk/info-centre/aude_toolkit_forsustainableestate</w:t>
        </w:r>
      </w:hyperlink>
    </w:p>
  </w:footnote>
  <w:footnote w:id="3">
    <w:p w:rsidR="00D97DBF" w:rsidRDefault="00D97DBF">
      <w:pPr>
        <w:pStyle w:val="FootnoteText"/>
      </w:pPr>
      <w:r>
        <w:rPr>
          <w:rStyle w:val="FootnoteReference"/>
        </w:rPr>
        <w:footnoteRef/>
      </w:r>
      <w:r>
        <w:t xml:space="preserve"> </w:t>
      </w:r>
      <w:hyperlink r:id="rId3" w:history="1">
        <w:r w:rsidRPr="001D6519">
          <w:rPr>
            <w:rStyle w:val="Hyperlink"/>
          </w:rPr>
          <w:t>http://www.smg.ac.uk/the_model.html</w:t>
        </w:r>
      </w:hyperlink>
    </w:p>
  </w:footnote>
  <w:footnote w:id="4">
    <w:p w:rsidR="00D97DBF" w:rsidRDefault="00D97DBF">
      <w:pPr>
        <w:pStyle w:val="FootnoteText"/>
      </w:pPr>
      <w:r>
        <w:rPr>
          <w:rStyle w:val="FootnoteReference"/>
        </w:rPr>
        <w:footnoteRef/>
      </w:r>
      <w:r>
        <w:t xml:space="preserve"> </w:t>
      </w:r>
      <w:hyperlink r:id="rId4" w:history="1">
        <w:r w:rsidRPr="006D4210">
          <w:rPr>
            <w:rStyle w:val="Hyperlink"/>
          </w:rPr>
          <w:t>http://www.hesa.ac.uk/index.php/content/view/356/233/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DBF" w:rsidRPr="00875A42" w:rsidRDefault="00D97DBF" w:rsidP="003028AA">
    <w:pPr>
      <w:pStyle w:val="Header"/>
      <w:tabs>
        <w:tab w:val="right" w:pos="7560"/>
      </w:tabs>
      <w:rPr>
        <w:rFonts w:cs="Arial"/>
        <w:i w:val="0"/>
      </w:rPr>
    </w:pPr>
    <w:r w:rsidRPr="0078667D">
      <w:rPr>
        <w:rFonts w:cs="Arial"/>
        <w:i w:val="0"/>
      </w:rPr>
      <w:tab/>
    </w:r>
    <w:r w:rsidR="00B975BF">
      <w:fldChar w:fldCharType="begin"/>
    </w:r>
    <w:r w:rsidR="00B975BF">
      <w:instrText xml:space="preserve"> STYLEREF "Heading 1" \* MERGEFORMAT </w:instrText>
    </w:r>
    <w:r w:rsidR="00B975BF">
      <w:fldChar w:fldCharType="separate"/>
    </w:r>
    <w:r w:rsidR="00340977" w:rsidRPr="00340977">
      <w:rPr>
        <w:rFonts w:cs="Arial"/>
        <w:i w:val="0"/>
        <w:noProof/>
      </w:rPr>
      <w:t>Introduction</w:t>
    </w:r>
    <w:r w:rsidR="00B975BF">
      <w:rPr>
        <w:rFonts w:cs="Arial"/>
        <w:i w:val="0"/>
        <w:noProof/>
      </w:rPr>
      <w:fldChar w:fldCharType="end"/>
    </w:r>
  </w:p>
  <w:p w:rsidR="00D97DBF" w:rsidRPr="0078667D" w:rsidRDefault="00D97DBF" w:rsidP="003028AA">
    <w:pPr>
      <w:pStyle w:val="Header"/>
      <w:pBdr>
        <w:bottom w:val="single" w:sz="4" w:space="1" w:color="auto"/>
      </w:pBdr>
      <w:rPr>
        <w:rFonts w:cs="Arial"/>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DBF" w:rsidRPr="00AE68D6" w:rsidRDefault="00D97DBF" w:rsidP="001B43EE">
    <w:pPr>
      <w:pStyle w:val="Header"/>
      <w:tabs>
        <w:tab w:val="right" w:pos="7560"/>
      </w:tabs>
      <w:rPr>
        <w:rFonts w:cs="Arial"/>
        <w:i w:val="0"/>
      </w:rPr>
    </w:pPr>
    <w:r w:rsidRPr="00AE68D6">
      <w:rPr>
        <w:rFonts w:cs="Arial"/>
        <w:i w:val="0"/>
      </w:rPr>
      <w:t xml:space="preserve">Section </w:t>
    </w:r>
    <w:r w:rsidR="00B975BF">
      <w:fldChar w:fldCharType="begin"/>
    </w:r>
    <w:r w:rsidR="00B975BF">
      <w:instrText xml:space="preserve"> STYLEREF</w:instrText>
    </w:r>
    <w:r w:rsidR="00B975BF">
      <w:instrText xml:space="preserve"> "Heading 1"\r  \* MERGEFORMAT </w:instrText>
    </w:r>
    <w:r w:rsidR="00B975BF">
      <w:fldChar w:fldCharType="separate"/>
    </w:r>
    <w:r w:rsidR="00B975BF" w:rsidRPr="00B975BF">
      <w:rPr>
        <w:rFonts w:cs="Arial"/>
        <w:i w:val="0"/>
        <w:noProof/>
      </w:rPr>
      <w:t>4</w:t>
    </w:r>
    <w:r w:rsidR="00B975BF">
      <w:rPr>
        <w:rFonts w:cs="Arial"/>
        <w:i w:val="0"/>
        <w:noProof/>
      </w:rPr>
      <w:fldChar w:fldCharType="end"/>
    </w:r>
    <w:r w:rsidRPr="00AE68D6">
      <w:rPr>
        <w:rFonts w:cs="Arial"/>
        <w:i w:val="0"/>
      </w:rPr>
      <w:tab/>
    </w:r>
    <w:r w:rsidR="00B975BF">
      <w:fldChar w:fldCharType="begin"/>
    </w:r>
    <w:r w:rsidR="00B975BF">
      <w:instrText xml:space="preserve"> STYLEREF "Heading 1" \* MERGEFORMAT </w:instrText>
    </w:r>
    <w:r w:rsidR="00B975BF">
      <w:fldChar w:fldCharType="separate"/>
    </w:r>
    <w:r w:rsidR="00B975BF" w:rsidRPr="00B975BF">
      <w:rPr>
        <w:rFonts w:cs="Arial"/>
        <w:i w:val="0"/>
        <w:noProof/>
      </w:rPr>
      <w:t>List</w:t>
    </w:r>
    <w:r w:rsidR="00B975BF">
      <w:rPr>
        <w:noProof/>
      </w:rPr>
      <w:t xml:space="preserve"> of HESA JACS codes and SAM examples</w:t>
    </w:r>
    <w:r w:rsidR="00B975BF">
      <w:rPr>
        <w:noProof/>
      </w:rPr>
      <w:fldChar w:fldCharType="end"/>
    </w:r>
  </w:p>
  <w:p w:rsidR="00D97DBF" w:rsidRPr="00A04C9F" w:rsidRDefault="00D97DBF" w:rsidP="001B43EE">
    <w:pPr>
      <w:pStyle w:val="Header"/>
      <w:pBdr>
        <w:bottom w:val="single" w:sz="4" w:space="1" w:color="auto"/>
      </w:pBd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6B6AF3E"/>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2F9CBAD2"/>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87A68A82"/>
    <w:lvl w:ilvl="0">
      <w:start w:val="1"/>
      <w:numFmt w:val="bullet"/>
      <w:lvlText w:val=""/>
      <w:lvlJc w:val="left"/>
      <w:pPr>
        <w:tabs>
          <w:tab w:val="num" w:pos="360"/>
        </w:tabs>
        <w:ind w:left="360" w:hanging="360"/>
      </w:pPr>
      <w:rPr>
        <w:rFonts w:ascii="Symbol" w:hAnsi="Symbol" w:hint="default"/>
      </w:rPr>
    </w:lvl>
  </w:abstractNum>
  <w:abstractNum w:abstractNumId="3">
    <w:nsid w:val="035762E6"/>
    <w:multiLevelType w:val="multilevel"/>
    <w:tmpl w:val="1994C416"/>
    <w:lvl w:ilvl="0">
      <w:start w:val="1"/>
      <w:numFmt w:val="decimal"/>
      <w:pStyle w:val="Heading1"/>
      <w:lvlText w:val="%1"/>
      <w:lvlJc w:val="left"/>
      <w:pPr>
        <w:tabs>
          <w:tab w:val="num" w:pos="720"/>
        </w:tabs>
        <w:ind w:left="720" w:hanging="720"/>
      </w:pPr>
      <w:rPr>
        <w:rFonts w:cs="Times New Roman" w:hint="default"/>
      </w:rPr>
    </w:lvl>
    <w:lvl w:ilvl="1">
      <w:start w:val="1"/>
      <w:numFmt w:val="none"/>
      <w:lvlText w:val=""/>
      <w:lvlJc w:val="left"/>
      <w:pPr>
        <w:tabs>
          <w:tab w:val="num" w:pos="720"/>
        </w:tabs>
        <w:ind w:left="720" w:hanging="720"/>
      </w:pPr>
      <w:rPr>
        <w:rFonts w:ascii="Arial" w:hAnsi="Arial" w:cs="Arial" w:hint="default"/>
      </w:rPr>
    </w:lvl>
    <w:lvl w:ilvl="2">
      <w:start w:val="1"/>
      <w:numFmt w:val="none"/>
      <w:pStyle w:val="Heading3"/>
      <w:lvlText w:val=""/>
      <w:lvlJc w:val="left"/>
      <w:pPr>
        <w:tabs>
          <w:tab w:val="num" w:pos="1080"/>
        </w:tabs>
        <w:ind w:left="720" w:hanging="720"/>
      </w:pPr>
      <w:rPr>
        <w:rFonts w:cs="Times New Roman" w:hint="default"/>
      </w:rPr>
    </w:lvl>
    <w:lvl w:ilvl="3">
      <w:start w:val="1"/>
      <w:numFmt w:val="none"/>
      <w:lvlText w:val=""/>
      <w:lvlJc w:val="left"/>
      <w:pPr>
        <w:tabs>
          <w:tab w:val="num" w:pos="360"/>
        </w:tabs>
      </w:pPr>
      <w:rPr>
        <w:rFonts w:cs="Times New Roman" w:hint="default"/>
      </w:rPr>
    </w:lvl>
    <w:lvl w:ilvl="4">
      <w:start w:val="1"/>
      <w:numFmt w:val="none"/>
      <w:pStyle w:val="Heading5"/>
      <w:lvlText w:val=""/>
      <w:lvlJc w:val="left"/>
      <w:pPr>
        <w:tabs>
          <w:tab w:val="num" w:pos="1008"/>
        </w:tabs>
        <w:ind w:left="1008" w:hanging="1008"/>
      </w:pPr>
      <w:rPr>
        <w:rFonts w:cs="Times New Roman" w:hint="default"/>
      </w:rPr>
    </w:lvl>
    <w:lvl w:ilvl="5">
      <w:start w:val="1"/>
      <w:numFmt w:val="none"/>
      <w:pStyle w:val="Heading6"/>
      <w:lvlText w:val=""/>
      <w:lvlJc w:val="left"/>
      <w:pPr>
        <w:tabs>
          <w:tab w:val="num" w:pos="1152"/>
        </w:tabs>
        <w:ind w:left="1152" w:hanging="1152"/>
      </w:pPr>
      <w:rPr>
        <w:rFonts w:cs="Times New Roman" w:hint="default"/>
      </w:rPr>
    </w:lvl>
    <w:lvl w:ilvl="6">
      <w:start w:val="1"/>
      <w:numFmt w:val="none"/>
      <w:pStyle w:val="Heading7"/>
      <w:lvlText w:val=""/>
      <w:lvlJc w:val="left"/>
      <w:pPr>
        <w:tabs>
          <w:tab w:val="num" w:pos="1296"/>
        </w:tabs>
        <w:ind w:left="1296" w:hanging="1296"/>
      </w:pPr>
      <w:rPr>
        <w:rFonts w:cs="Times New Roman" w:hint="default"/>
      </w:rPr>
    </w:lvl>
    <w:lvl w:ilvl="7">
      <w:start w:val="1"/>
      <w:numFmt w:val="none"/>
      <w:pStyle w:val="Heading8"/>
      <w:lvlText w:val=""/>
      <w:lvlJc w:val="left"/>
      <w:pPr>
        <w:tabs>
          <w:tab w:val="num" w:pos="1440"/>
        </w:tabs>
        <w:ind w:left="1440" w:hanging="1440"/>
      </w:pPr>
      <w:rPr>
        <w:rFonts w:cs="Times New Roman" w:hint="default"/>
      </w:rPr>
    </w:lvl>
    <w:lvl w:ilvl="8">
      <w:start w:val="1"/>
      <w:numFmt w:val="none"/>
      <w:pStyle w:val="Heading9"/>
      <w:lvlText w:val=""/>
      <w:lvlJc w:val="left"/>
      <w:pPr>
        <w:tabs>
          <w:tab w:val="num" w:pos="1584"/>
        </w:tabs>
        <w:ind w:left="1584" w:hanging="1584"/>
      </w:pPr>
      <w:rPr>
        <w:rFonts w:cs="Times New Roman" w:hint="default"/>
      </w:rPr>
    </w:lvl>
  </w:abstractNum>
  <w:abstractNum w:abstractNumId="4">
    <w:nsid w:val="057578EF"/>
    <w:multiLevelType w:val="multilevel"/>
    <w:tmpl w:val="08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
    <w:nsid w:val="0FEA463F"/>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4CB719C"/>
    <w:multiLevelType w:val="singleLevel"/>
    <w:tmpl w:val="AFF84B40"/>
    <w:lvl w:ilvl="0">
      <w:start w:val="1"/>
      <w:numFmt w:val="decimal"/>
      <w:pStyle w:val="AnnexHeading"/>
      <w:lvlText w:val="Annex %1"/>
      <w:lvlJc w:val="left"/>
      <w:pPr>
        <w:tabs>
          <w:tab w:val="num" w:pos="1440"/>
        </w:tabs>
        <w:ind w:left="360" w:hanging="360"/>
      </w:pPr>
      <w:rPr>
        <w:rFonts w:cs="Times New Roman"/>
      </w:rPr>
    </w:lvl>
  </w:abstractNum>
  <w:abstractNum w:abstractNumId="7">
    <w:nsid w:val="20842ED7"/>
    <w:multiLevelType w:val="singleLevel"/>
    <w:tmpl w:val="E8386954"/>
    <w:lvl w:ilvl="0">
      <w:start w:val="1"/>
      <w:numFmt w:val="bullet"/>
      <w:lvlText w:val=""/>
      <w:lvlJc w:val="left"/>
      <w:pPr>
        <w:tabs>
          <w:tab w:val="num" w:pos="794"/>
        </w:tabs>
        <w:ind w:left="794" w:hanging="363"/>
      </w:pPr>
      <w:rPr>
        <w:rFonts w:ascii="Wingdings" w:hAnsi="Wingdings" w:hint="default"/>
        <w:color w:val="3366FF"/>
      </w:rPr>
    </w:lvl>
  </w:abstractNum>
  <w:abstractNum w:abstractNumId="8">
    <w:nsid w:val="2248521D"/>
    <w:multiLevelType w:val="singleLevel"/>
    <w:tmpl w:val="B91863DC"/>
    <w:lvl w:ilvl="0">
      <w:start w:val="1"/>
      <w:numFmt w:val="bullet"/>
      <w:lvlText w:val=""/>
      <w:lvlJc w:val="left"/>
      <w:pPr>
        <w:tabs>
          <w:tab w:val="num" w:pos="794"/>
        </w:tabs>
        <w:ind w:left="794" w:hanging="363"/>
      </w:pPr>
      <w:rPr>
        <w:rFonts w:ascii="Wingdings" w:hAnsi="Wingdings" w:hint="default"/>
        <w:color w:val="3366FF"/>
      </w:rPr>
    </w:lvl>
  </w:abstractNum>
  <w:abstractNum w:abstractNumId="9">
    <w:nsid w:val="22641A37"/>
    <w:multiLevelType w:val="singleLevel"/>
    <w:tmpl w:val="F4A618E4"/>
    <w:lvl w:ilvl="0">
      <w:start w:val="1"/>
      <w:numFmt w:val="bullet"/>
      <w:lvlText w:val=""/>
      <w:lvlJc w:val="left"/>
      <w:pPr>
        <w:tabs>
          <w:tab w:val="num" w:pos="794"/>
        </w:tabs>
        <w:ind w:left="794" w:hanging="363"/>
      </w:pPr>
      <w:rPr>
        <w:rFonts w:ascii="Wingdings" w:hAnsi="Wingdings" w:hint="default"/>
        <w:color w:val="3366FF"/>
      </w:rPr>
    </w:lvl>
  </w:abstractNum>
  <w:abstractNum w:abstractNumId="10">
    <w:nsid w:val="26874AD1"/>
    <w:multiLevelType w:val="singleLevel"/>
    <w:tmpl w:val="99527DFA"/>
    <w:lvl w:ilvl="0">
      <w:start w:val="1"/>
      <w:numFmt w:val="bullet"/>
      <w:lvlText w:val=""/>
      <w:lvlJc w:val="left"/>
      <w:pPr>
        <w:tabs>
          <w:tab w:val="num" w:pos="794"/>
        </w:tabs>
        <w:ind w:left="794" w:hanging="363"/>
      </w:pPr>
      <w:rPr>
        <w:rFonts w:ascii="Wingdings" w:hAnsi="Wingdings" w:hint="default"/>
        <w:color w:val="3366FF"/>
      </w:rPr>
    </w:lvl>
  </w:abstractNum>
  <w:abstractNum w:abstractNumId="11">
    <w:nsid w:val="29E87038"/>
    <w:multiLevelType w:val="singleLevel"/>
    <w:tmpl w:val="B35E97F0"/>
    <w:lvl w:ilvl="0">
      <w:start w:val="1"/>
      <w:numFmt w:val="bullet"/>
      <w:lvlText w:val=""/>
      <w:lvlJc w:val="left"/>
      <w:pPr>
        <w:tabs>
          <w:tab w:val="num" w:pos="794"/>
        </w:tabs>
        <w:ind w:left="794" w:hanging="363"/>
      </w:pPr>
      <w:rPr>
        <w:rFonts w:ascii="Wingdings" w:hAnsi="Wingdings" w:hint="default"/>
        <w:color w:val="3366FF"/>
      </w:rPr>
    </w:lvl>
  </w:abstractNum>
  <w:abstractNum w:abstractNumId="12">
    <w:nsid w:val="31262B8F"/>
    <w:multiLevelType w:val="singleLevel"/>
    <w:tmpl w:val="56AA34DC"/>
    <w:lvl w:ilvl="0">
      <w:start w:val="1"/>
      <w:numFmt w:val="bullet"/>
      <w:lvlText w:val=""/>
      <w:lvlJc w:val="left"/>
      <w:pPr>
        <w:tabs>
          <w:tab w:val="num" w:pos="794"/>
        </w:tabs>
        <w:ind w:left="794" w:hanging="363"/>
      </w:pPr>
      <w:rPr>
        <w:rFonts w:ascii="Wingdings" w:hAnsi="Wingdings" w:hint="default"/>
        <w:color w:val="3366FF"/>
      </w:rPr>
    </w:lvl>
  </w:abstractNum>
  <w:abstractNum w:abstractNumId="13">
    <w:nsid w:val="36040675"/>
    <w:multiLevelType w:val="singleLevel"/>
    <w:tmpl w:val="A1024FF8"/>
    <w:lvl w:ilvl="0">
      <w:start w:val="1"/>
      <w:numFmt w:val="bullet"/>
      <w:lvlText w:val=""/>
      <w:lvlJc w:val="left"/>
      <w:pPr>
        <w:tabs>
          <w:tab w:val="num" w:pos="794"/>
        </w:tabs>
        <w:ind w:left="794" w:hanging="363"/>
      </w:pPr>
      <w:rPr>
        <w:rFonts w:ascii="Wingdings" w:hAnsi="Wingdings" w:hint="default"/>
        <w:color w:val="3366FF"/>
      </w:rPr>
    </w:lvl>
  </w:abstractNum>
  <w:abstractNum w:abstractNumId="14">
    <w:nsid w:val="3F393EA2"/>
    <w:multiLevelType w:val="singleLevel"/>
    <w:tmpl w:val="D542C252"/>
    <w:lvl w:ilvl="0">
      <w:start w:val="1"/>
      <w:numFmt w:val="bullet"/>
      <w:lvlText w:val=""/>
      <w:lvlJc w:val="left"/>
      <w:pPr>
        <w:tabs>
          <w:tab w:val="num" w:pos="794"/>
        </w:tabs>
        <w:ind w:left="794" w:hanging="363"/>
      </w:pPr>
      <w:rPr>
        <w:rFonts w:ascii="Wingdings" w:hAnsi="Wingdings" w:hint="default"/>
        <w:color w:val="3366FF"/>
      </w:rPr>
    </w:lvl>
  </w:abstractNum>
  <w:abstractNum w:abstractNumId="15">
    <w:nsid w:val="428A6184"/>
    <w:multiLevelType w:val="singleLevel"/>
    <w:tmpl w:val="B39257B0"/>
    <w:lvl w:ilvl="0">
      <w:start w:val="1"/>
      <w:numFmt w:val="bullet"/>
      <w:lvlText w:val=""/>
      <w:lvlJc w:val="left"/>
      <w:pPr>
        <w:tabs>
          <w:tab w:val="num" w:pos="794"/>
        </w:tabs>
        <w:ind w:left="794" w:hanging="363"/>
      </w:pPr>
      <w:rPr>
        <w:rFonts w:ascii="Wingdings" w:hAnsi="Wingdings" w:hint="default"/>
        <w:color w:val="3366FF"/>
      </w:rPr>
    </w:lvl>
  </w:abstractNum>
  <w:abstractNum w:abstractNumId="16">
    <w:nsid w:val="4CC14697"/>
    <w:multiLevelType w:val="singleLevel"/>
    <w:tmpl w:val="F4BEBE4A"/>
    <w:lvl w:ilvl="0">
      <w:start w:val="1"/>
      <w:numFmt w:val="bullet"/>
      <w:lvlText w:val=""/>
      <w:lvlJc w:val="left"/>
      <w:pPr>
        <w:tabs>
          <w:tab w:val="num" w:pos="794"/>
        </w:tabs>
        <w:ind w:left="794" w:hanging="363"/>
      </w:pPr>
      <w:rPr>
        <w:rFonts w:ascii="Wingdings" w:hAnsi="Wingdings" w:hint="default"/>
        <w:color w:val="3366FF"/>
      </w:rPr>
    </w:lvl>
  </w:abstractNum>
  <w:abstractNum w:abstractNumId="17">
    <w:nsid w:val="54255D01"/>
    <w:multiLevelType w:val="singleLevel"/>
    <w:tmpl w:val="EC700744"/>
    <w:lvl w:ilvl="0">
      <w:start w:val="1"/>
      <w:numFmt w:val="bullet"/>
      <w:pStyle w:val="ListBullet"/>
      <w:lvlText w:val=""/>
      <w:lvlJc w:val="left"/>
      <w:pPr>
        <w:tabs>
          <w:tab w:val="num" w:pos="360"/>
        </w:tabs>
        <w:ind w:left="360" w:hanging="360"/>
      </w:pPr>
      <w:rPr>
        <w:rFonts w:ascii="Wingdings" w:hAnsi="Wingdings" w:hint="default"/>
        <w:sz w:val="16"/>
      </w:rPr>
    </w:lvl>
  </w:abstractNum>
  <w:abstractNum w:abstractNumId="18">
    <w:nsid w:val="55A15A4E"/>
    <w:multiLevelType w:val="singleLevel"/>
    <w:tmpl w:val="69A8DBF4"/>
    <w:lvl w:ilvl="0">
      <w:start w:val="1"/>
      <w:numFmt w:val="bullet"/>
      <w:lvlText w:val=""/>
      <w:lvlJc w:val="left"/>
      <w:pPr>
        <w:tabs>
          <w:tab w:val="num" w:pos="794"/>
        </w:tabs>
        <w:ind w:left="794" w:hanging="363"/>
      </w:pPr>
      <w:rPr>
        <w:rFonts w:ascii="Wingdings" w:hAnsi="Wingdings" w:hint="default"/>
        <w:color w:val="3366FF"/>
      </w:rPr>
    </w:lvl>
  </w:abstractNum>
  <w:abstractNum w:abstractNumId="19">
    <w:nsid w:val="57E655AA"/>
    <w:multiLevelType w:val="singleLevel"/>
    <w:tmpl w:val="BEE4D952"/>
    <w:lvl w:ilvl="0">
      <w:start w:val="1"/>
      <w:numFmt w:val="bullet"/>
      <w:lvlText w:val=""/>
      <w:lvlJc w:val="left"/>
      <w:pPr>
        <w:tabs>
          <w:tab w:val="num" w:pos="794"/>
        </w:tabs>
        <w:ind w:left="794" w:hanging="363"/>
      </w:pPr>
      <w:rPr>
        <w:rFonts w:ascii="Wingdings" w:hAnsi="Wingdings" w:hint="default"/>
        <w:color w:val="3366FF"/>
      </w:rPr>
    </w:lvl>
  </w:abstractNum>
  <w:abstractNum w:abstractNumId="20">
    <w:nsid w:val="5CF14541"/>
    <w:multiLevelType w:val="hybridMultilevel"/>
    <w:tmpl w:val="DFA2EA1C"/>
    <w:lvl w:ilvl="0" w:tplc="3B7ED6EA">
      <w:start w:val="1"/>
      <w:numFmt w:val="bullet"/>
      <w:pStyle w:val="Bulletlist"/>
      <w:lvlText w:val=""/>
      <w:lvlJc w:val="left"/>
      <w:pPr>
        <w:tabs>
          <w:tab w:val="num" w:pos="792"/>
        </w:tabs>
        <w:ind w:left="792" w:hanging="360"/>
      </w:pPr>
      <w:rPr>
        <w:rFonts w:ascii="Symbol" w:hAnsi="Symbol" w:hint="default"/>
      </w:rPr>
    </w:lvl>
    <w:lvl w:ilvl="1" w:tplc="85A0CFD6" w:tentative="1">
      <w:start w:val="1"/>
      <w:numFmt w:val="bullet"/>
      <w:lvlText w:val="o"/>
      <w:lvlJc w:val="left"/>
      <w:pPr>
        <w:tabs>
          <w:tab w:val="num" w:pos="1440"/>
        </w:tabs>
        <w:ind w:left="1440" w:hanging="360"/>
      </w:pPr>
      <w:rPr>
        <w:rFonts w:ascii="Courier New" w:hAnsi="Courier New" w:hint="default"/>
      </w:rPr>
    </w:lvl>
    <w:lvl w:ilvl="2" w:tplc="EBBE9CAC" w:tentative="1">
      <w:start w:val="1"/>
      <w:numFmt w:val="bullet"/>
      <w:lvlText w:val=""/>
      <w:lvlJc w:val="left"/>
      <w:pPr>
        <w:tabs>
          <w:tab w:val="num" w:pos="2160"/>
        </w:tabs>
        <w:ind w:left="2160" w:hanging="360"/>
      </w:pPr>
      <w:rPr>
        <w:rFonts w:ascii="Wingdings" w:hAnsi="Wingdings" w:hint="default"/>
      </w:rPr>
    </w:lvl>
    <w:lvl w:ilvl="3" w:tplc="15BE5B68" w:tentative="1">
      <w:start w:val="1"/>
      <w:numFmt w:val="bullet"/>
      <w:lvlText w:val=""/>
      <w:lvlJc w:val="left"/>
      <w:pPr>
        <w:tabs>
          <w:tab w:val="num" w:pos="2880"/>
        </w:tabs>
        <w:ind w:left="2880" w:hanging="360"/>
      </w:pPr>
      <w:rPr>
        <w:rFonts w:ascii="Symbol" w:hAnsi="Symbol" w:hint="default"/>
      </w:rPr>
    </w:lvl>
    <w:lvl w:ilvl="4" w:tplc="149C08F4" w:tentative="1">
      <w:start w:val="1"/>
      <w:numFmt w:val="bullet"/>
      <w:lvlText w:val="o"/>
      <w:lvlJc w:val="left"/>
      <w:pPr>
        <w:tabs>
          <w:tab w:val="num" w:pos="3600"/>
        </w:tabs>
        <w:ind w:left="3600" w:hanging="360"/>
      </w:pPr>
      <w:rPr>
        <w:rFonts w:ascii="Courier New" w:hAnsi="Courier New" w:hint="default"/>
      </w:rPr>
    </w:lvl>
    <w:lvl w:ilvl="5" w:tplc="F73408AA" w:tentative="1">
      <w:start w:val="1"/>
      <w:numFmt w:val="bullet"/>
      <w:lvlText w:val=""/>
      <w:lvlJc w:val="left"/>
      <w:pPr>
        <w:tabs>
          <w:tab w:val="num" w:pos="4320"/>
        </w:tabs>
        <w:ind w:left="4320" w:hanging="360"/>
      </w:pPr>
      <w:rPr>
        <w:rFonts w:ascii="Wingdings" w:hAnsi="Wingdings" w:hint="default"/>
      </w:rPr>
    </w:lvl>
    <w:lvl w:ilvl="6" w:tplc="D3CE2CDA" w:tentative="1">
      <w:start w:val="1"/>
      <w:numFmt w:val="bullet"/>
      <w:lvlText w:val=""/>
      <w:lvlJc w:val="left"/>
      <w:pPr>
        <w:tabs>
          <w:tab w:val="num" w:pos="5040"/>
        </w:tabs>
        <w:ind w:left="5040" w:hanging="360"/>
      </w:pPr>
      <w:rPr>
        <w:rFonts w:ascii="Symbol" w:hAnsi="Symbol" w:hint="default"/>
      </w:rPr>
    </w:lvl>
    <w:lvl w:ilvl="7" w:tplc="047A1C52" w:tentative="1">
      <w:start w:val="1"/>
      <w:numFmt w:val="bullet"/>
      <w:lvlText w:val="o"/>
      <w:lvlJc w:val="left"/>
      <w:pPr>
        <w:tabs>
          <w:tab w:val="num" w:pos="5760"/>
        </w:tabs>
        <w:ind w:left="5760" w:hanging="360"/>
      </w:pPr>
      <w:rPr>
        <w:rFonts w:ascii="Courier New" w:hAnsi="Courier New" w:hint="default"/>
      </w:rPr>
    </w:lvl>
    <w:lvl w:ilvl="8" w:tplc="D65E7ECE" w:tentative="1">
      <w:start w:val="1"/>
      <w:numFmt w:val="bullet"/>
      <w:lvlText w:val=""/>
      <w:lvlJc w:val="left"/>
      <w:pPr>
        <w:tabs>
          <w:tab w:val="num" w:pos="6480"/>
        </w:tabs>
        <w:ind w:left="6480" w:hanging="360"/>
      </w:pPr>
      <w:rPr>
        <w:rFonts w:ascii="Wingdings" w:hAnsi="Wingdings" w:hint="default"/>
      </w:rPr>
    </w:lvl>
  </w:abstractNum>
  <w:abstractNum w:abstractNumId="21">
    <w:nsid w:val="5D3F0135"/>
    <w:multiLevelType w:val="singleLevel"/>
    <w:tmpl w:val="E0304E8C"/>
    <w:lvl w:ilvl="0">
      <w:start w:val="1"/>
      <w:numFmt w:val="bullet"/>
      <w:lvlText w:val=""/>
      <w:lvlJc w:val="left"/>
      <w:pPr>
        <w:tabs>
          <w:tab w:val="num" w:pos="794"/>
        </w:tabs>
        <w:ind w:left="794" w:hanging="363"/>
      </w:pPr>
      <w:rPr>
        <w:rFonts w:ascii="Wingdings" w:hAnsi="Wingdings" w:hint="default"/>
        <w:color w:val="3366FF"/>
      </w:rPr>
    </w:lvl>
  </w:abstractNum>
  <w:abstractNum w:abstractNumId="22">
    <w:nsid w:val="6A4227E1"/>
    <w:multiLevelType w:val="multilevel"/>
    <w:tmpl w:val="957A0E1A"/>
    <w:lvl w:ilvl="0">
      <w:start w:val="1"/>
      <w:numFmt w:val="decimal"/>
      <w:lvlText w:val="Annex %1"/>
      <w:lvlJc w:val="left"/>
      <w:pPr>
        <w:tabs>
          <w:tab w:val="num" w:pos="432"/>
        </w:tabs>
        <w:ind w:left="432" w:hanging="432"/>
      </w:pPr>
      <w:rPr>
        <w:rFonts w:cs="Times New Roman" w:hint="default"/>
      </w:rPr>
    </w:lvl>
    <w:lvl w:ilvl="1">
      <w:start w:val="1"/>
      <w:numFmt w:val="decimal"/>
      <w:pStyle w:val="HeadingA2"/>
      <w:lvlText w:val="A%1.%2"/>
      <w:lvlJc w:val="left"/>
      <w:pPr>
        <w:tabs>
          <w:tab w:val="num" w:pos="0"/>
        </w:tabs>
        <w:ind w:left="578" w:hanging="578"/>
      </w:pPr>
      <w:rPr>
        <w:rFonts w:cs="Times New Roman" w:hint="default"/>
      </w:rPr>
    </w:lvl>
    <w:lvl w:ilvl="2">
      <w:start w:val="1"/>
      <w:numFmt w:val="decimal"/>
      <w:pStyle w:val="HeadingA3"/>
      <w:lvlText w:val="A%1.%2.%3"/>
      <w:lvlJc w:val="left"/>
      <w:pPr>
        <w:tabs>
          <w:tab w:val="num" w:pos="720"/>
        </w:tabs>
        <w:ind w:left="720" w:hanging="720"/>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decimal"/>
      <w:lvlRestart w:val="0"/>
      <w:lvlText w:val="%1.%6"/>
      <w:lvlJc w:val="left"/>
      <w:pPr>
        <w:tabs>
          <w:tab w:val="num" w:pos="720"/>
        </w:tabs>
        <w:ind w:left="720" w:hanging="72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6B8F1CF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E627188"/>
    <w:multiLevelType w:val="singleLevel"/>
    <w:tmpl w:val="C710695E"/>
    <w:lvl w:ilvl="0">
      <w:start w:val="1"/>
      <w:numFmt w:val="bullet"/>
      <w:lvlText w:val=""/>
      <w:lvlJc w:val="left"/>
      <w:pPr>
        <w:tabs>
          <w:tab w:val="num" w:pos="794"/>
        </w:tabs>
        <w:ind w:left="794" w:hanging="363"/>
      </w:pPr>
      <w:rPr>
        <w:rFonts w:ascii="Wingdings" w:hAnsi="Wingdings" w:hint="default"/>
        <w:color w:val="3366FF"/>
      </w:rPr>
    </w:lvl>
  </w:abstractNum>
  <w:abstractNum w:abstractNumId="25">
    <w:nsid w:val="70A23B08"/>
    <w:multiLevelType w:val="singleLevel"/>
    <w:tmpl w:val="0F42B76A"/>
    <w:lvl w:ilvl="0">
      <w:start w:val="1"/>
      <w:numFmt w:val="bullet"/>
      <w:lvlText w:val=""/>
      <w:lvlJc w:val="left"/>
      <w:pPr>
        <w:tabs>
          <w:tab w:val="num" w:pos="794"/>
        </w:tabs>
        <w:ind w:left="794" w:hanging="363"/>
      </w:pPr>
      <w:rPr>
        <w:rFonts w:ascii="Wingdings" w:hAnsi="Wingdings" w:hint="default"/>
        <w:color w:val="3366FF"/>
      </w:rPr>
    </w:lvl>
  </w:abstractNum>
  <w:abstractNum w:abstractNumId="26">
    <w:nsid w:val="71A106E7"/>
    <w:multiLevelType w:val="singleLevel"/>
    <w:tmpl w:val="9D66D73E"/>
    <w:lvl w:ilvl="0">
      <w:start w:val="1"/>
      <w:numFmt w:val="bullet"/>
      <w:lvlText w:val=""/>
      <w:lvlJc w:val="left"/>
      <w:pPr>
        <w:tabs>
          <w:tab w:val="num" w:pos="794"/>
        </w:tabs>
        <w:ind w:left="794" w:hanging="363"/>
      </w:pPr>
      <w:rPr>
        <w:rFonts w:ascii="Wingdings" w:hAnsi="Wingdings" w:hint="default"/>
        <w:color w:val="3366FF"/>
      </w:rPr>
    </w:lvl>
  </w:abstractNum>
  <w:abstractNum w:abstractNumId="27">
    <w:nsid w:val="796E34B5"/>
    <w:multiLevelType w:val="singleLevel"/>
    <w:tmpl w:val="19763A9C"/>
    <w:lvl w:ilvl="0">
      <w:start w:val="1"/>
      <w:numFmt w:val="bullet"/>
      <w:lvlText w:val=""/>
      <w:lvlJc w:val="left"/>
      <w:pPr>
        <w:tabs>
          <w:tab w:val="num" w:pos="794"/>
        </w:tabs>
        <w:ind w:left="794" w:hanging="363"/>
      </w:pPr>
      <w:rPr>
        <w:rFonts w:ascii="Wingdings" w:hAnsi="Wingdings" w:hint="default"/>
        <w:color w:val="3366FF"/>
      </w:rPr>
    </w:lvl>
  </w:abstractNum>
  <w:abstractNum w:abstractNumId="28">
    <w:nsid w:val="7FD574C4"/>
    <w:multiLevelType w:val="singleLevel"/>
    <w:tmpl w:val="4A5C16EE"/>
    <w:lvl w:ilvl="0">
      <w:start w:val="1"/>
      <w:numFmt w:val="bullet"/>
      <w:lvlText w:val=""/>
      <w:lvlJc w:val="left"/>
      <w:pPr>
        <w:tabs>
          <w:tab w:val="num" w:pos="794"/>
        </w:tabs>
        <w:ind w:left="794" w:hanging="363"/>
      </w:pPr>
      <w:rPr>
        <w:rFonts w:ascii="Wingdings" w:hAnsi="Wingdings" w:hint="default"/>
        <w:color w:val="3366FF"/>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
  </w:num>
  <w:num w:numId="8">
    <w:abstractNumId w:val="0"/>
  </w:num>
  <w:num w:numId="9">
    <w:abstractNumId w:val="1"/>
  </w:num>
  <w:num w:numId="10">
    <w:abstractNumId w:val="2"/>
  </w:num>
  <w:num w:numId="11">
    <w:abstractNumId w:val="0"/>
  </w:num>
  <w:num w:numId="12">
    <w:abstractNumId w:val="1"/>
  </w:num>
  <w:num w:numId="13">
    <w:abstractNumId w:val="17"/>
  </w:num>
  <w:num w:numId="14">
    <w:abstractNumId w:val="1"/>
  </w:num>
  <w:num w:numId="15">
    <w:abstractNumId w:val="3"/>
  </w:num>
  <w:num w:numId="16">
    <w:abstractNumId w:val="6"/>
  </w:num>
  <w:num w:numId="17">
    <w:abstractNumId w:val="20"/>
  </w:num>
  <w:num w:numId="18">
    <w:abstractNumId w:val="7"/>
  </w:num>
  <w:num w:numId="19">
    <w:abstractNumId w:val="27"/>
  </w:num>
  <w:num w:numId="20">
    <w:abstractNumId w:val="22"/>
  </w:num>
  <w:num w:numId="21">
    <w:abstractNumId w:val="14"/>
  </w:num>
  <w:num w:numId="22">
    <w:abstractNumId w:val="28"/>
  </w:num>
  <w:num w:numId="23">
    <w:abstractNumId w:val="24"/>
  </w:num>
  <w:num w:numId="24">
    <w:abstractNumId w:val="25"/>
  </w:num>
  <w:num w:numId="25">
    <w:abstractNumId w:val="13"/>
  </w:num>
  <w:num w:numId="26">
    <w:abstractNumId w:val="10"/>
  </w:num>
  <w:num w:numId="27">
    <w:abstractNumId w:val="12"/>
  </w:num>
  <w:num w:numId="28">
    <w:abstractNumId w:val="8"/>
  </w:num>
  <w:num w:numId="29">
    <w:abstractNumId w:val="15"/>
  </w:num>
  <w:num w:numId="30">
    <w:abstractNumId w:val="19"/>
  </w:num>
  <w:num w:numId="31">
    <w:abstractNumId w:val="9"/>
  </w:num>
  <w:num w:numId="32">
    <w:abstractNumId w:val="11"/>
  </w:num>
  <w:num w:numId="33">
    <w:abstractNumId w:val="16"/>
  </w:num>
  <w:num w:numId="34">
    <w:abstractNumId w:val="26"/>
  </w:num>
  <w:num w:numId="35">
    <w:abstractNumId w:val="18"/>
  </w:num>
  <w:num w:numId="36">
    <w:abstractNumId w:val="21"/>
  </w:num>
  <w:num w:numId="37">
    <w:abstractNumId w:val="4"/>
  </w:num>
  <w:num w:numId="38">
    <w:abstractNumId w:val="5"/>
  </w:num>
  <w:num w:numId="3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comments" w:enforcement="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10"/>
    <w:rsid w:val="0000169C"/>
    <w:rsid w:val="00004E60"/>
    <w:rsid w:val="00017333"/>
    <w:rsid w:val="00021DCC"/>
    <w:rsid w:val="00024CBE"/>
    <w:rsid w:val="00040C7C"/>
    <w:rsid w:val="00041226"/>
    <w:rsid w:val="000433E1"/>
    <w:rsid w:val="00044A5B"/>
    <w:rsid w:val="00047E09"/>
    <w:rsid w:val="000506A7"/>
    <w:rsid w:val="00051CC0"/>
    <w:rsid w:val="00051E71"/>
    <w:rsid w:val="00052BC5"/>
    <w:rsid w:val="00057E85"/>
    <w:rsid w:val="00060FA9"/>
    <w:rsid w:val="000642D7"/>
    <w:rsid w:val="00074462"/>
    <w:rsid w:val="00085484"/>
    <w:rsid w:val="000903E5"/>
    <w:rsid w:val="000922BA"/>
    <w:rsid w:val="00094BAD"/>
    <w:rsid w:val="00095CE3"/>
    <w:rsid w:val="000B0104"/>
    <w:rsid w:val="000B60CC"/>
    <w:rsid w:val="000B7B8A"/>
    <w:rsid w:val="000C7097"/>
    <w:rsid w:val="000D3A6B"/>
    <w:rsid w:val="000D6B5C"/>
    <w:rsid w:val="000D6BD7"/>
    <w:rsid w:val="000F38FD"/>
    <w:rsid w:val="00102520"/>
    <w:rsid w:val="00106DDC"/>
    <w:rsid w:val="0011393D"/>
    <w:rsid w:val="00114D22"/>
    <w:rsid w:val="00157018"/>
    <w:rsid w:val="00173062"/>
    <w:rsid w:val="00174169"/>
    <w:rsid w:val="00177E2A"/>
    <w:rsid w:val="001807FF"/>
    <w:rsid w:val="00181772"/>
    <w:rsid w:val="00187B09"/>
    <w:rsid w:val="001937AE"/>
    <w:rsid w:val="001A086E"/>
    <w:rsid w:val="001B1811"/>
    <w:rsid w:val="001B43EE"/>
    <w:rsid w:val="001D6519"/>
    <w:rsid w:val="001E1654"/>
    <w:rsid w:val="001E3EC0"/>
    <w:rsid w:val="001F0530"/>
    <w:rsid w:val="001F4E2C"/>
    <w:rsid w:val="001F5F27"/>
    <w:rsid w:val="002002F2"/>
    <w:rsid w:val="00201D04"/>
    <w:rsid w:val="00212661"/>
    <w:rsid w:val="00227B04"/>
    <w:rsid w:val="00232383"/>
    <w:rsid w:val="00237D78"/>
    <w:rsid w:val="002417C6"/>
    <w:rsid w:val="00250814"/>
    <w:rsid w:val="00251D45"/>
    <w:rsid w:val="00253488"/>
    <w:rsid w:val="0027459A"/>
    <w:rsid w:val="002901B1"/>
    <w:rsid w:val="00291FE6"/>
    <w:rsid w:val="0029435B"/>
    <w:rsid w:val="002A4258"/>
    <w:rsid w:val="002B0EB5"/>
    <w:rsid w:val="002C57BC"/>
    <w:rsid w:val="002D233C"/>
    <w:rsid w:val="002D3EE1"/>
    <w:rsid w:val="002E0356"/>
    <w:rsid w:val="002E4359"/>
    <w:rsid w:val="002E4373"/>
    <w:rsid w:val="002F47F1"/>
    <w:rsid w:val="003028AA"/>
    <w:rsid w:val="0031334D"/>
    <w:rsid w:val="00316FF3"/>
    <w:rsid w:val="00323E97"/>
    <w:rsid w:val="0032596A"/>
    <w:rsid w:val="003302C4"/>
    <w:rsid w:val="00340977"/>
    <w:rsid w:val="00342829"/>
    <w:rsid w:val="00370983"/>
    <w:rsid w:val="00382CEB"/>
    <w:rsid w:val="00384284"/>
    <w:rsid w:val="00384918"/>
    <w:rsid w:val="0039039E"/>
    <w:rsid w:val="00390485"/>
    <w:rsid w:val="00396A62"/>
    <w:rsid w:val="003B3B51"/>
    <w:rsid w:val="003B5FE1"/>
    <w:rsid w:val="003C01F8"/>
    <w:rsid w:val="003C5422"/>
    <w:rsid w:val="003C6678"/>
    <w:rsid w:val="003E346E"/>
    <w:rsid w:val="003F2520"/>
    <w:rsid w:val="003F5017"/>
    <w:rsid w:val="003F7DC2"/>
    <w:rsid w:val="00403B4F"/>
    <w:rsid w:val="0044010E"/>
    <w:rsid w:val="00450674"/>
    <w:rsid w:val="004554E7"/>
    <w:rsid w:val="004563CC"/>
    <w:rsid w:val="0047298D"/>
    <w:rsid w:val="00485AC2"/>
    <w:rsid w:val="004923CF"/>
    <w:rsid w:val="00495C31"/>
    <w:rsid w:val="004A2537"/>
    <w:rsid w:val="004D17D6"/>
    <w:rsid w:val="004F2E1F"/>
    <w:rsid w:val="004F638A"/>
    <w:rsid w:val="005050D4"/>
    <w:rsid w:val="00511E52"/>
    <w:rsid w:val="00517342"/>
    <w:rsid w:val="0052072F"/>
    <w:rsid w:val="00521D10"/>
    <w:rsid w:val="00555E3D"/>
    <w:rsid w:val="005561DB"/>
    <w:rsid w:val="00557A20"/>
    <w:rsid w:val="005A1E83"/>
    <w:rsid w:val="005A652D"/>
    <w:rsid w:val="005B2680"/>
    <w:rsid w:val="005C77EE"/>
    <w:rsid w:val="005D3D77"/>
    <w:rsid w:val="005E685D"/>
    <w:rsid w:val="005E6C70"/>
    <w:rsid w:val="005F122A"/>
    <w:rsid w:val="006010C4"/>
    <w:rsid w:val="006100F5"/>
    <w:rsid w:val="00614587"/>
    <w:rsid w:val="00616F2A"/>
    <w:rsid w:val="00624B3D"/>
    <w:rsid w:val="00627914"/>
    <w:rsid w:val="00633B4E"/>
    <w:rsid w:val="00642F9C"/>
    <w:rsid w:val="00666404"/>
    <w:rsid w:val="006718CC"/>
    <w:rsid w:val="00672125"/>
    <w:rsid w:val="00677379"/>
    <w:rsid w:val="006A2988"/>
    <w:rsid w:val="006A300E"/>
    <w:rsid w:val="006A52BC"/>
    <w:rsid w:val="006B79CD"/>
    <w:rsid w:val="006B7CCC"/>
    <w:rsid w:val="006D1740"/>
    <w:rsid w:val="006D4210"/>
    <w:rsid w:val="006E2E97"/>
    <w:rsid w:val="006F0AE7"/>
    <w:rsid w:val="00707905"/>
    <w:rsid w:val="00715482"/>
    <w:rsid w:val="00715AC1"/>
    <w:rsid w:val="007237EA"/>
    <w:rsid w:val="00726728"/>
    <w:rsid w:val="007535C6"/>
    <w:rsid w:val="00773035"/>
    <w:rsid w:val="007770D7"/>
    <w:rsid w:val="0078462D"/>
    <w:rsid w:val="007A20D5"/>
    <w:rsid w:val="007A3F30"/>
    <w:rsid w:val="007D01FD"/>
    <w:rsid w:val="007D3E21"/>
    <w:rsid w:val="007D7078"/>
    <w:rsid w:val="007F07AF"/>
    <w:rsid w:val="00801809"/>
    <w:rsid w:val="00804A20"/>
    <w:rsid w:val="00806C64"/>
    <w:rsid w:val="00806D9D"/>
    <w:rsid w:val="00810097"/>
    <w:rsid w:val="0082263A"/>
    <w:rsid w:val="00822EF5"/>
    <w:rsid w:val="008462AE"/>
    <w:rsid w:val="00846B0C"/>
    <w:rsid w:val="008622A0"/>
    <w:rsid w:val="0086782B"/>
    <w:rsid w:val="008825C7"/>
    <w:rsid w:val="008935FD"/>
    <w:rsid w:val="008A46BC"/>
    <w:rsid w:val="008A7610"/>
    <w:rsid w:val="008B15C1"/>
    <w:rsid w:val="008B525A"/>
    <w:rsid w:val="008B67F0"/>
    <w:rsid w:val="008C0399"/>
    <w:rsid w:val="008C19CA"/>
    <w:rsid w:val="008C1A5D"/>
    <w:rsid w:val="008C3C55"/>
    <w:rsid w:val="008C4463"/>
    <w:rsid w:val="008C6303"/>
    <w:rsid w:val="008E0A6F"/>
    <w:rsid w:val="008F017B"/>
    <w:rsid w:val="008F5E62"/>
    <w:rsid w:val="00917D6B"/>
    <w:rsid w:val="009245F1"/>
    <w:rsid w:val="00943677"/>
    <w:rsid w:val="009506D4"/>
    <w:rsid w:val="00951C45"/>
    <w:rsid w:val="009524E8"/>
    <w:rsid w:val="0095577D"/>
    <w:rsid w:val="0096298F"/>
    <w:rsid w:val="00962AC9"/>
    <w:rsid w:val="009638A9"/>
    <w:rsid w:val="009639F9"/>
    <w:rsid w:val="0096423E"/>
    <w:rsid w:val="00965987"/>
    <w:rsid w:val="00975FC0"/>
    <w:rsid w:val="00994D97"/>
    <w:rsid w:val="009A71CA"/>
    <w:rsid w:val="009B5A18"/>
    <w:rsid w:val="009C1776"/>
    <w:rsid w:val="009C7496"/>
    <w:rsid w:val="009F0F15"/>
    <w:rsid w:val="009F1184"/>
    <w:rsid w:val="009F2400"/>
    <w:rsid w:val="009F4E96"/>
    <w:rsid w:val="00A02926"/>
    <w:rsid w:val="00A04C9F"/>
    <w:rsid w:val="00A079A5"/>
    <w:rsid w:val="00A25B07"/>
    <w:rsid w:val="00A331A4"/>
    <w:rsid w:val="00A550B3"/>
    <w:rsid w:val="00A57E19"/>
    <w:rsid w:val="00A660F6"/>
    <w:rsid w:val="00A672F9"/>
    <w:rsid w:val="00A7206E"/>
    <w:rsid w:val="00A9569D"/>
    <w:rsid w:val="00A96FC9"/>
    <w:rsid w:val="00AA0559"/>
    <w:rsid w:val="00AA5B64"/>
    <w:rsid w:val="00AB06F1"/>
    <w:rsid w:val="00AC0F54"/>
    <w:rsid w:val="00AD46AD"/>
    <w:rsid w:val="00AE0BA2"/>
    <w:rsid w:val="00AE1641"/>
    <w:rsid w:val="00AE43CA"/>
    <w:rsid w:val="00AE68D6"/>
    <w:rsid w:val="00AF7E7F"/>
    <w:rsid w:val="00B06D5F"/>
    <w:rsid w:val="00B22692"/>
    <w:rsid w:val="00B24572"/>
    <w:rsid w:val="00B24735"/>
    <w:rsid w:val="00B268EA"/>
    <w:rsid w:val="00B26978"/>
    <w:rsid w:val="00B35817"/>
    <w:rsid w:val="00B40524"/>
    <w:rsid w:val="00B511A8"/>
    <w:rsid w:val="00B71A82"/>
    <w:rsid w:val="00B820D8"/>
    <w:rsid w:val="00B975BF"/>
    <w:rsid w:val="00BA59E6"/>
    <w:rsid w:val="00BA7B39"/>
    <w:rsid w:val="00BC40D2"/>
    <w:rsid w:val="00BC59D6"/>
    <w:rsid w:val="00BC6AC0"/>
    <w:rsid w:val="00BD0EAE"/>
    <w:rsid w:val="00BD49FA"/>
    <w:rsid w:val="00BE04DE"/>
    <w:rsid w:val="00BE5B3D"/>
    <w:rsid w:val="00BE6F17"/>
    <w:rsid w:val="00BF5767"/>
    <w:rsid w:val="00BF5D59"/>
    <w:rsid w:val="00BF6410"/>
    <w:rsid w:val="00C00E8C"/>
    <w:rsid w:val="00C04E67"/>
    <w:rsid w:val="00C538E0"/>
    <w:rsid w:val="00C5772E"/>
    <w:rsid w:val="00C5773F"/>
    <w:rsid w:val="00C6766A"/>
    <w:rsid w:val="00C749AE"/>
    <w:rsid w:val="00CA55C5"/>
    <w:rsid w:val="00CB0898"/>
    <w:rsid w:val="00CB43CC"/>
    <w:rsid w:val="00CC19BC"/>
    <w:rsid w:val="00CC2F0A"/>
    <w:rsid w:val="00CD2367"/>
    <w:rsid w:val="00D046CC"/>
    <w:rsid w:val="00D068E9"/>
    <w:rsid w:val="00D10F8B"/>
    <w:rsid w:val="00D15C50"/>
    <w:rsid w:val="00D16E73"/>
    <w:rsid w:val="00D2678C"/>
    <w:rsid w:val="00D30E14"/>
    <w:rsid w:val="00D32EF2"/>
    <w:rsid w:val="00D342F9"/>
    <w:rsid w:val="00D36D41"/>
    <w:rsid w:val="00D37F59"/>
    <w:rsid w:val="00D407A5"/>
    <w:rsid w:val="00D64A28"/>
    <w:rsid w:val="00D70904"/>
    <w:rsid w:val="00D8426C"/>
    <w:rsid w:val="00D85A0D"/>
    <w:rsid w:val="00D87C9D"/>
    <w:rsid w:val="00D90F13"/>
    <w:rsid w:val="00D931A2"/>
    <w:rsid w:val="00D97371"/>
    <w:rsid w:val="00D97DBF"/>
    <w:rsid w:val="00DA14B7"/>
    <w:rsid w:val="00DA16AD"/>
    <w:rsid w:val="00DA3229"/>
    <w:rsid w:val="00DA61AC"/>
    <w:rsid w:val="00DB4DC6"/>
    <w:rsid w:val="00DC0115"/>
    <w:rsid w:val="00DC7C58"/>
    <w:rsid w:val="00DE1B5E"/>
    <w:rsid w:val="00DF1B8E"/>
    <w:rsid w:val="00DF4E9B"/>
    <w:rsid w:val="00DF7DED"/>
    <w:rsid w:val="00E03B1E"/>
    <w:rsid w:val="00E1266E"/>
    <w:rsid w:val="00E205DF"/>
    <w:rsid w:val="00E37339"/>
    <w:rsid w:val="00E44F1B"/>
    <w:rsid w:val="00E56C7E"/>
    <w:rsid w:val="00E731E4"/>
    <w:rsid w:val="00E8028F"/>
    <w:rsid w:val="00E8103F"/>
    <w:rsid w:val="00E83DE6"/>
    <w:rsid w:val="00E8491D"/>
    <w:rsid w:val="00EA37BE"/>
    <w:rsid w:val="00EA4DFC"/>
    <w:rsid w:val="00EB11BD"/>
    <w:rsid w:val="00EB168B"/>
    <w:rsid w:val="00EB4162"/>
    <w:rsid w:val="00EC5FAB"/>
    <w:rsid w:val="00ED6B25"/>
    <w:rsid w:val="00EE5712"/>
    <w:rsid w:val="00EF364E"/>
    <w:rsid w:val="00EF4568"/>
    <w:rsid w:val="00EF6DA6"/>
    <w:rsid w:val="00F07D23"/>
    <w:rsid w:val="00F153A3"/>
    <w:rsid w:val="00F20D0C"/>
    <w:rsid w:val="00F40280"/>
    <w:rsid w:val="00F603EE"/>
    <w:rsid w:val="00F610A2"/>
    <w:rsid w:val="00F771AE"/>
    <w:rsid w:val="00F8151F"/>
    <w:rsid w:val="00FA0E38"/>
    <w:rsid w:val="00FA1499"/>
    <w:rsid w:val="00FB0737"/>
    <w:rsid w:val="00FB5C25"/>
    <w:rsid w:val="00FC11F1"/>
    <w:rsid w:val="00FF3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34"/>
    <o:shapelayout v:ext="edit">
      <o:idmap v:ext="edit" data="1"/>
    </o:shapelayout>
  </w:shapeDefaults>
  <w:decimalSymbol w:val="."/>
  <w:listSeparator w:val=","/>
  <w15:docId w15:val="{B84D1F20-A0B9-41E7-A501-E4B38F8F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38"/>
    <w:pPr>
      <w:spacing w:after="120"/>
      <w:jc w:val="both"/>
    </w:pPr>
    <w:rPr>
      <w:rFonts w:ascii="Calibri" w:hAnsi="Calibri"/>
      <w:sz w:val="24"/>
      <w:szCs w:val="24"/>
      <w:lang w:eastAsia="en-US"/>
    </w:rPr>
  </w:style>
  <w:style w:type="paragraph" w:styleId="Heading1">
    <w:name w:val="heading 1"/>
    <w:basedOn w:val="Normal"/>
    <w:next w:val="Normal"/>
    <w:link w:val="Heading1Char"/>
    <w:uiPriority w:val="99"/>
    <w:qFormat/>
    <w:rsid w:val="00232383"/>
    <w:pPr>
      <w:keepNext/>
      <w:numPr>
        <w:numId w:val="15"/>
      </w:numPr>
      <w:spacing w:after="360"/>
      <w:outlineLvl w:val="0"/>
    </w:pPr>
    <w:rPr>
      <w:b/>
      <w:kern w:val="28"/>
      <w:sz w:val="36"/>
    </w:rPr>
  </w:style>
  <w:style w:type="paragraph" w:styleId="Heading2">
    <w:name w:val="heading 2"/>
    <w:basedOn w:val="Normal"/>
    <w:next w:val="Normal"/>
    <w:link w:val="Heading2Char"/>
    <w:uiPriority w:val="99"/>
    <w:qFormat/>
    <w:rsid w:val="00232383"/>
    <w:pPr>
      <w:keepNext/>
      <w:spacing w:before="240" w:after="240"/>
      <w:outlineLvl w:val="1"/>
    </w:pPr>
    <w:rPr>
      <w:b/>
      <w:sz w:val="32"/>
    </w:rPr>
  </w:style>
  <w:style w:type="paragraph" w:styleId="Heading3">
    <w:name w:val="heading 3"/>
    <w:basedOn w:val="Normal"/>
    <w:next w:val="Normal"/>
    <w:link w:val="Heading3Char"/>
    <w:uiPriority w:val="99"/>
    <w:qFormat/>
    <w:rsid w:val="00232383"/>
    <w:pPr>
      <w:keepNext/>
      <w:numPr>
        <w:ilvl w:val="2"/>
        <w:numId w:val="15"/>
      </w:numPr>
      <w:spacing w:before="240"/>
      <w:outlineLvl w:val="2"/>
    </w:pPr>
    <w:rPr>
      <w:b/>
      <w:sz w:val="28"/>
    </w:rPr>
  </w:style>
  <w:style w:type="paragraph" w:styleId="Heading4">
    <w:name w:val="heading 4"/>
    <w:basedOn w:val="Normal"/>
    <w:next w:val="Normal"/>
    <w:link w:val="Heading4Char"/>
    <w:uiPriority w:val="99"/>
    <w:qFormat/>
    <w:rsid w:val="00232383"/>
    <w:pPr>
      <w:keepNext/>
      <w:spacing w:before="240"/>
      <w:outlineLvl w:val="3"/>
    </w:pPr>
    <w:rPr>
      <w:b/>
      <w:i/>
    </w:rPr>
  </w:style>
  <w:style w:type="paragraph" w:styleId="Heading5">
    <w:name w:val="heading 5"/>
    <w:basedOn w:val="Normal"/>
    <w:next w:val="Normal"/>
    <w:link w:val="Heading5Char"/>
    <w:uiPriority w:val="99"/>
    <w:qFormat/>
    <w:rsid w:val="00232383"/>
    <w:pPr>
      <w:numPr>
        <w:ilvl w:val="4"/>
        <w:numId w:val="15"/>
      </w:numPr>
      <w:spacing w:before="240" w:after="60"/>
      <w:outlineLvl w:val="4"/>
    </w:pPr>
  </w:style>
  <w:style w:type="paragraph" w:styleId="Heading6">
    <w:name w:val="heading 6"/>
    <w:basedOn w:val="Normal"/>
    <w:next w:val="Normal"/>
    <w:link w:val="Heading6Char"/>
    <w:uiPriority w:val="99"/>
    <w:qFormat/>
    <w:rsid w:val="00232383"/>
    <w:pPr>
      <w:numPr>
        <w:ilvl w:val="5"/>
        <w:numId w:val="15"/>
      </w:num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232383"/>
    <w:pPr>
      <w:numPr>
        <w:ilvl w:val="6"/>
        <w:numId w:val="15"/>
      </w:numPr>
      <w:spacing w:before="240" w:after="60"/>
      <w:outlineLvl w:val="6"/>
    </w:pPr>
    <w:rPr>
      <w:rFonts w:ascii="Arial" w:hAnsi="Arial"/>
      <w:sz w:val="20"/>
    </w:rPr>
  </w:style>
  <w:style w:type="paragraph" w:styleId="Heading8">
    <w:name w:val="heading 8"/>
    <w:basedOn w:val="Normal"/>
    <w:next w:val="Normal"/>
    <w:link w:val="Heading8Char"/>
    <w:uiPriority w:val="99"/>
    <w:qFormat/>
    <w:rsid w:val="00232383"/>
    <w:pPr>
      <w:numPr>
        <w:ilvl w:val="7"/>
        <w:numId w:val="15"/>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232383"/>
    <w:pPr>
      <w:numPr>
        <w:ilvl w:val="8"/>
        <w:numId w:val="1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46AD"/>
    <w:rPr>
      <w:rFonts w:ascii="Calibri" w:hAnsi="Calibri"/>
      <w:b/>
      <w:kern w:val="28"/>
      <w:sz w:val="36"/>
      <w:szCs w:val="24"/>
      <w:lang w:eastAsia="en-US"/>
    </w:rPr>
  </w:style>
  <w:style w:type="character" w:customStyle="1" w:styleId="Heading2Char">
    <w:name w:val="Heading 2 Char"/>
    <w:basedOn w:val="DefaultParagraphFont"/>
    <w:link w:val="Heading2"/>
    <w:uiPriority w:val="99"/>
    <w:semiHidden/>
    <w:locked/>
    <w:rsid w:val="00AD46A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AD46AD"/>
    <w:rPr>
      <w:rFonts w:ascii="Calibri" w:hAnsi="Calibri"/>
      <w:b/>
      <w:sz w:val="28"/>
      <w:szCs w:val="24"/>
      <w:lang w:eastAsia="en-US"/>
    </w:rPr>
  </w:style>
  <w:style w:type="character" w:customStyle="1" w:styleId="Heading4Char">
    <w:name w:val="Heading 4 Char"/>
    <w:basedOn w:val="DefaultParagraphFont"/>
    <w:link w:val="Heading4"/>
    <w:uiPriority w:val="99"/>
    <w:locked/>
    <w:rsid w:val="003F5017"/>
    <w:rPr>
      <w:rFonts w:ascii="Calibri" w:hAnsi="Calibri" w:cs="Times New Roman"/>
      <w:b/>
      <w:i/>
      <w:sz w:val="24"/>
      <w:szCs w:val="24"/>
      <w:lang w:eastAsia="en-US"/>
    </w:rPr>
  </w:style>
  <w:style w:type="character" w:customStyle="1" w:styleId="Heading5Char">
    <w:name w:val="Heading 5 Char"/>
    <w:basedOn w:val="DefaultParagraphFont"/>
    <w:link w:val="Heading5"/>
    <w:uiPriority w:val="99"/>
    <w:locked/>
    <w:rsid w:val="00AD46AD"/>
    <w:rPr>
      <w:rFonts w:ascii="Calibri" w:hAnsi="Calibri"/>
      <w:sz w:val="24"/>
      <w:szCs w:val="24"/>
      <w:lang w:eastAsia="en-US"/>
    </w:rPr>
  </w:style>
  <w:style w:type="character" w:customStyle="1" w:styleId="Heading6Char">
    <w:name w:val="Heading 6 Char"/>
    <w:basedOn w:val="DefaultParagraphFont"/>
    <w:link w:val="Heading6"/>
    <w:uiPriority w:val="99"/>
    <w:locked/>
    <w:rsid w:val="00AD46AD"/>
    <w:rPr>
      <w:i/>
      <w:sz w:val="24"/>
      <w:szCs w:val="24"/>
      <w:lang w:eastAsia="en-US"/>
    </w:rPr>
  </w:style>
  <w:style w:type="character" w:customStyle="1" w:styleId="Heading7Char">
    <w:name w:val="Heading 7 Char"/>
    <w:basedOn w:val="DefaultParagraphFont"/>
    <w:link w:val="Heading7"/>
    <w:uiPriority w:val="99"/>
    <w:locked/>
    <w:rsid w:val="00AD46AD"/>
    <w:rPr>
      <w:rFonts w:ascii="Arial" w:hAnsi="Arial"/>
      <w:sz w:val="20"/>
      <w:szCs w:val="24"/>
      <w:lang w:eastAsia="en-US"/>
    </w:rPr>
  </w:style>
  <w:style w:type="character" w:customStyle="1" w:styleId="Heading8Char">
    <w:name w:val="Heading 8 Char"/>
    <w:basedOn w:val="DefaultParagraphFont"/>
    <w:link w:val="Heading8"/>
    <w:uiPriority w:val="99"/>
    <w:locked/>
    <w:rsid w:val="00AD46AD"/>
    <w:rPr>
      <w:rFonts w:ascii="Arial" w:hAnsi="Arial"/>
      <w:i/>
      <w:sz w:val="20"/>
      <w:szCs w:val="24"/>
      <w:lang w:eastAsia="en-US"/>
    </w:rPr>
  </w:style>
  <w:style w:type="character" w:customStyle="1" w:styleId="Heading9Char">
    <w:name w:val="Heading 9 Char"/>
    <w:basedOn w:val="DefaultParagraphFont"/>
    <w:link w:val="Heading9"/>
    <w:uiPriority w:val="99"/>
    <w:locked/>
    <w:rsid w:val="00AD46AD"/>
    <w:rPr>
      <w:rFonts w:ascii="Arial" w:hAnsi="Arial"/>
      <w:b/>
      <w:i/>
      <w:sz w:val="18"/>
      <w:szCs w:val="24"/>
      <w:lang w:eastAsia="en-US"/>
    </w:rPr>
  </w:style>
  <w:style w:type="paragraph" w:styleId="Caption">
    <w:name w:val="caption"/>
    <w:basedOn w:val="Normal"/>
    <w:next w:val="Normal"/>
    <w:uiPriority w:val="99"/>
    <w:qFormat/>
    <w:rsid w:val="00232383"/>
    <w:pPr>
      <w:widowControl w:val="0"/>
      <w:spacing w:before="120"/>
      <w:jc w:val="center"/>
    </w:pPr>
    <w:rPr>
      <w:b/>
      <w:sz w:val="22"/>
    </w:rPr>
  </w:style>
  <w:style w:type="character" w:styleId="EndnoteReference">
    <w:name w:val="endnote reference"/>
    <w:basedOn w:val="DefaultParagraphFont"/>
    <w:uiPriority w:val="99"/>
    <w:rsid w:val="00232383"/>
    <w:rPr>
      <w:rFonts w:ascii="Calibri" w:hAnsi="Calibri" w:cs="Times New Roman"/>
      <w:vertAlign w:val="superscript"/>
    </w:rPr>
  </w:style>
  <w:style w:type="paragraph" w:styleId="EndnoteText">
    <w:name w:val="endnote text"/>
    <w:basedOn w:val="Normal"/>
    <w:link w:val="EndnoteTextChar"/>
    <w:uiPriority w:val="99"/>
    <w:rsid w:val="00232383"/>
    <w:pPr>
      <w:widowControl w:val="0"/>
      <w:spacing w:before="120"/>
    </w:pPr>
    <w:rPr>
      <w:sz w:val="16"/>
    </w:rPr>
  </w:style>
  <w:style w:type="character" w:customStyle="1" w:styleId="EndnoteTextChar">
    <w:name w:val="Endnote Text Char"/>
    <w:basedOn w:val="DefaultParagraphFont"/>
    <w:link w:val="EndnoteText"/>
    <w:uiPriority w:val="99"/>
    <w:locked/>
    <w:rsid w:val="003F5017"/>
    <w:rPr>
      <w:rFonts w:ascii="Calibri" w:hAnsi="Calibri" w:cs="Times New Roman"/>
      <w:sz w:val="24"/>
      <w:szCs w:val="24"/>
      <w:lang w:eastAsia="en-US"/>
    </w:rPr>
  </w:style>
  <w:style w:type="paragraph" w:styleId="Footer">
    <w:name w:val="footer"/>
    <w:basedOn w:val="Normal"/>
    <w:link w:val="FooterChar"/>
    <w:rsid w:val="00232383"/>
    <w:pPr>
      <w:tabs>
        <w:tab w:val="right" w:pos="7560"/>
      </w:tabs>
      <w:spacing w:after="0"/>
    </w:pPr>
    <w:rPr>
      <w:b/>
      <w:i/>
      <w:sz w:val="18"/>
    </w:rPr>
  </w:style>
  <w:style w:type="character" w:customStyle="1" w:styleId="FooterChar">
    <w:name w:val="Footer Char"/>
    <w:basedOn w:val="DefaultParagraphFont"/>
    <w:link w:val="Footer"/>
    <w:uiPriority w:val="99"/>
    <w:semiHidden/>
    <w:locked/>
    <w:rsid w:val="00AD46AD"/>
    <w:rPr>
      <w:rFonts w:ascii="Calibri" w:hAnsi="Calibri" w:cs="Times New Roman"/>
      <w:sz w:val="24"/>
      <w:szCs w:val="24"/>
      <w:lang w:eastAsia="en-US"/>
    </w:rPr>
  </w:style>
  <w:style w:type="character" w:styleId="FootnoteReference">
    <w:name w:val="footnote reference"/>
    <w:basedOn w:val="DefaultParagraphFont"/>
    <w:uiPriority w:val="99"/>
    <w:rsid w:val="00232383"/>
    <w:rPr>
      <w:rFonts w:ascii="Calibri" w:hAnsi="Calibri" w:cs="Times New Roman"/>
      <w:vertAlign w:val="superscript"/>
    </w:rPr>
  </w:style>
  <w:style w:type="paragraph" w:styleId="FootnoteText">
    <w:name w:val="footnote text"/>
    <w:basedOn w:val="Normal"/>
    <w:link w:val="FootnoteTextChar"/>
    <w:uiPriority w:val="99"/>
    <w:rsid w:val="00232383"/>
    <w:pPr>
      <w:widowControl w:val="0"/>
      <w:tabs>
        <w:tab w:val="left" w:pos="288"/>
      </w:tabs>
      <w:spacing w:before="120"/>
      <w:ind w:left="288" w:hanging="288"/>
    </w:pPr>
    <w:rPr>
      <w:sz w:val="16"/>
    </w:rPr>
  </w:style>
  <w:style w:type="character" w:customStyle="1" w:styleId="FootnoteTextChar">
    <w:name w:val="Footnote Text Char"/>
    <w:basedOn w:val="DefaultParagraphFont"/>
    <w:link w:val="FootnoteText"/>
    <w:uiPriority w:val="99"/>
    <w:locked/>
    <w:rsid w:val="003F5017"/>
    <w:rPr>
      <w:rFonts w:ascii="Calibri" w:hAnsi="Calibri" w:cs="Times New Roman"/>
      <w:sz w:val="24"/>
      <w:szCs w:val="24"/>
      <w:lang w:eastAsia="en-US"/>
    </w:rPr>
  </w:style>
  <w:style w:type="paragraph" w:styleId="Header">
    <w:name w:val="header"/>
    <w:basedOn w:val="Normal"/>
    <w:link w:val="HeaderChar"/>
    <w:rsid w:val="00232383"/>
    <w:pPr>
      <w:spacing w:after="0"/>
    </w:pPr>
    <w:rPr>
      <w:b/>
      <w:i/>
      <w:sz w:val="20"/>
    </w:rPr>
  </w:style>
  <w:style w:type="character" w:customStyle="1" w:styleId="HeaderChar">
    <w:name w:val="Header Char"/>
    <w:basedOn w:val="DefaultParagraphFont"/>
    <w:link w:val="Header"/>
    <w:uiPriority w:val="99"/>
    <w:semiHidden/>
    <w:locked/>
    <w:rsid w:val="00AD46AD"/>
    <w:rPr>
      <w:rFonts w:ascii="Calibri" w:hAnsi="Calibri" w:cs="Times New Roman"/>
      <w:sz w:val="24"/>
      <w:szCs w:val="24"/>
      <w:lang w:eastAsia="en-US"/>
    </w:rPr>
  </w:style>
  <w:style w:type="paragraph" w:styleId="Index1">
    <w:name w:val="index 1"/>
    <w:basedOn w:val="Normal"/>
    <w:next w:val="Normal"/>
    <w:autoRedefine/>
    <w:uiPriority w:val="99"/>
    <w:rsid w:val="00232383"/>
    <w:pPr>
      <w:widowControl w:val="0"/>
      <w:spacing w:before="120"/>
      <w:ind w:left="220" w:hanging="220"/>
    </w:pPr>
    <w:rPr>
      <w:sz w:val="22"/>
    </w:rPr>
  </w:style>
  <w:style w:type="paragraph" w:styleId="ListBullet">
    <w:name w:val="List Bullet"/>
    <w:basedOn w:val="Normal"/>
    <w:autoRedefine/>
    <w:uiPriority w:val="99"/>
    <w:rsid w:val="00232383"/>
    <w:pPr>
      <w:widowControl w:val="0"/>
      <w:numPr>
        <w:numId w:val="13"/>
      </w:numPr>
      <w:spacing w:before="120" w:after="240"/>
    </w:pPr>
    <w:rPr>
      <w:rFonts w:ascii="Book Antiqua" w:hAnsi="Book Antiqua"/>
      <w:sz w:val="22"/>
    </w:rPr>
  </w:style>
  <w:style w:type="paragraph" w:styleId="ListBullet2">
    <w:name w:val="List Bullet 2"/>
    <w:basedOn w:val="Normal"/>
    <w:autoRedefine/>
    <w:uiPriority w:val="99"/>
    <w:rsid w:val="00232383"/>
    <w:pPr>
      <w:widowControl w:val="0"/>
      <w:spacing w:before="120"/>
    </w:pPr>
    <w:rPr>
      <w:rFonts w:ascii="Book Antiqua" w:hAnsi="Book Antiqua"/>
      <w:sz w:val="22"/>
    </w:rPr>
  </w:style>
  <w:style w:type="paragraph" w:styleId="ListNumber">
    <w:name w:val="List Number"/>
    <w:basedOn w:val="Normal"/>
    <w:uiPriority w:val="99"/>
    <w:rsid w:val="00232383"/>
    <w:pPr>
      <w:widowControl w:val="0"/>
      <w:tabs>
        <w:tab w:val="num" w:pos="360"/>
      </w:tabs>
      <w:spacing w:before="120" w:after="240"/>
      <w:ind w:left="360" w:hanging="360"/>
    </w:pPr>
    <w:rPr>
      <w:rFonts w:ascii="Book Antiqua" w:hAnsi="Book Antiqua"/>
      <w:sz w:val="22"/>
    </w:rPr>
  </w:style>
  <w:style w:type="character" w:styleId="PageNumber">
    <w:name w:val="page number"/>
    <w:basedOn w:val="DefaultParagraphFont"/>
    <w:uiPriority w:val="99"/>
    <w:rsid w:val="00232383"/>
    <w:rPr>
      <w:rFonts w:ascii="Book Antiqua" w:hAnsi="Book Antiqua" w:cs="Times New Roman"/>
    </w:rPr>
  </w:style>
  <w:style w:type="paragraph" w:styleId="Subtitle">
    <w:name w:val="Subtitle"/>
    <w:basedOn w:val="Normal"/>
    <w:next w:val="Normal"/>
    <w:link w:val="SubtitleChar"/>
    <w:uiPriority w:val="99"/>
    <w:qFormat/>
    <w:rsid w:val="00232383"/>
    <w:pPr>
      <w:spacing w:after="240"/>
      <w:outlineLvl w:val="1"/>
    </w:pPr>
    <w:rPr>
      <w:rFonts w:cs="Arial"/>
      <w:b/>
      <w:sz w:val="28"/>
    </w:rPr>
  </w:style>
  <w:style w:type="character" w:customStyle="1" w:styleId="SubtitleChar">
    <w:name w:val="Subtitle Char"/>
    <w:basedOn w:val="DefaultParagraphFont"/>
    <w:link w:val="Subtitle"/>
    <w:uiPriority w:val="99"/>
    <w:locked/>
    <w:rsid w:val="003F5017"/>
    <w:rPr>
      <w:rFonts w:ascii="Calibri" w:hAnsi="Calibri" w:cs="Arial"/>
      <w:b/>
      <w:sz w:val="24"/>
      <w:szCs w:val="24"/>
      <w:lang w:eastAsia="en-US"/>
    </w:rPr>
  </w:style>
  <w:style w:type="paragraph" w:styleId="Title">
    <w:name w:val="Title"/>
    <w:basedOn w:val="Normal"/>
    <w:next w:val="Subtitle"/>
    <w:link w:val="TitleChar"/>
    <w:uiPriority w:val="99"/>
    <w:qFormat/>
    <w:rsid w:val="00232383"/>
    <w:pPr>
      <w:spacing w:before="240" w:after="60"/>
      <w:outlineLvl w:val="0"/>
    </w:pPr>
    <w:rPr>
      <w:b/>
      <w:kern w:val="28"/>
      <w:sz w:val="32"/>
    </w:rPr>
  </w:style>
  <w:style w:type="character" w:customStyle="1" w:styleId="TitleChar">
    <w:name w:val="Title Char"/>
    <w:basedOn w:val="DefaultParagraphFont"/>
    <w:link w:val="Title"/>
    <w:uiPriority w:val="99"/>
    <w:locked/>
    <w:rsid w:val="003F5017"/>
    <w:rPr>
      <w:rFonts w:ascii="Calibri" w:hAnsi="Calibri" w:cs="Times New Roman"/>
      <w:b/>
      <w:kern w:val="28"/>
      <w:sz w:val="24"/>
      <w:szCs w:val="24"/>
      <w:lang w:eastAsia="en-US"/>
    </w:rPr>
  </w:style>
  <w:style w:type="paragraph" w:styleId="TOC1">
    <w:name w:val="toc 1"/>
    <w:basedOn w:val="Normal"/>
    <w:next w:val="Normal"/>
    <w:autoRedefine/>
    <w:uiPriority w:val="39"/>
    <w:rsid w:val="00232383"/>
    <w:pPr>
      <w:tabs>
        <w:tab w:val="left" w:pos="440"/>
        <w:tab w:val="right" w:pos="7579"/>
      </w:tabs>
      <w:spacing w:before="360" w:after="0"/>
      <w:ind w:left="440" w:hanging="440"/>
      <w:jc w:val="left"/>
    </w:pPr>
    <w:rPr>
      <w:b/>
      <w:sz w:val="28"/>
    </w:rPr>
  </w:style>
  <w:style w:type="paragraph" w:styleId="TOC2">
    <w:name w:val="toc 2"/>
    <w:basedOn w:val="Normal"/>
    <w:next w:val="Normal"/>
    <w:autoRedefine/>
    <w:uiPriority w:val="99"/>
    <w:rsid w:val="00232383"/>
    <w:pPr>
      <w:spacing w:before="240" w:after="0"/>
      <w:ind w:left="720"/>
      <w:jc w:val="left"/>
    </w:pPr>
    <w:rPr>
      <w:b/>
    </w:rPr>
  </w:style>
  <w:style w:type="paragraph" w:styleId="TOC3">
    <w:name w:val="toc 3"/>
    <w:basedOn w:val="Normal"/>
    <w:next w:val="Normal"/>
    <w:autoRedefine/>
    <w:uiPriority w:val="99"/>
    <w:rsid w:val="00232383"/>
    <w:pPr>
      <w:spacing w:after="0"/>
      <w:ind w:left="220"/>
      <w:jc w:val="left"/>
    </w:pPr>
    <w:rPr>
      <w:rFonts w:ascii="Times" w:hAnsi="Times"/>
      <w:sz w:val="20"/>
    </w:rPr>
  </w:style>
  <w:style w:type="paragraph" w:styleId="TOC4">
    <w:name w:val="toc 4"/>
    <w:basedOn w:val="Normal"/>
    <w:next w:val="Normal"/>
    <w:autoRedefine/>
    <w:uiPriority w:val="99"/>
    <w:rsid w:val="00232383"/>
    <w:pPr>
      <w:spacing w:after="0"/>
      <w:ind w:left="440"/>
      <w:jc w:val="left"/>
    </w:pPr>
    <w:rPr>
      <w:rFonts w:ascii="Times" w:hAnsi="Times"/>
      <w:sz w:val="20"/>
    </w:rPr>
  </w:style>
  <w:style w:type="paragraph" w:styleId="TOC5">
    <w:name w:val="toc 5"/>
    <w:basedOn w:val="Normal"/>
    <w:next w:val="Normal"/>
    <w:autoRedefine/>
    <w:uiPriority w:val="99"/>
    <w:rsid w:val="00232383"/>
    <w:pPr>
      <w:spacing w:after="0"/>
      <w:ind w:left="660"/>
      <w:jc w:val="left"/>
    </w:pPr>
    <w:rPr>
      <w:rFonts w:ascii="Times" w:hAnsi="Times"/>
      <w:sz w:val="20"/>
    </w:rPr>
  </w:style>
  <w:style w:type="paragraph" w:styleId="TOC6">
    <w:name w:val="toc 6"/>
    <w:basedOn w:val="Normal"/>
    <w:next w:val="Normal"/>
    <w:autoRedefine/>
    <w:uiPriority w:val="99"/>
    <w:rsid w:val="00232383"/>
    <w:pPr>
      <w:spacing w:after="0"/>
      <w:ind w:left="880"/>
      <w:jc w:val="left"/>
    </w:pPr>
    <w:rPr>
      <w:rFonts w:ascii="Times" w:hAnsi="Times"/>
      <w:sz w:val="20"/>
    </w:rPr>
  </w:style>
  <w:style w:type="paragraph" w:styleId="TOC7">
    <w:name w:val="toc 7"/>
    <w:basedOn w:val="Normal"/>
    <w:next w:val="Normal"/>
    <w:autoRedefine/>
    <w:uiPriority w:val="99"/>
    <w:rsid w:val="00232383"/>
    <w:pPr>
      <w:spacing w:after="0"/>
      <w:ind w:left="1100"/>
      <w:jc w:val="left"/>
    </w:pPr>
    <w:rPr>
      <w:rFonts w:ascii="Times" w:hAnsi="Times"/>
      <w:sz w:val="20"/>
    </w:rPr>
  </w:style>
  <w:style w:type="paragraph" w:styleId="TOC8">
    <w:name w:val="toc 8"/>
    <w:basedOn w:val="Normal"/>
    <w:next w:val="Normal"/>
    <w:autoRedefine/>
    <w:uiPriority w:val="99"/>
    <w:rsid w:val="00232383"/>
    <w:pPr>
      <w:spacing w:after="0"/>
      <w:ind w:left="1320"/>
      <w:jc w:val="left"/>
    </w:pPr>
    <w:rPr>
      <w:rFonts w:ascii="Times" w:hAnsi="Times"/>
      <w:sz w:val="20"/>
    </w:rPr>
  </w:style>
  <w:style w:type="paragraph" w:styleId="TOC9">
    <w:name w:val="toc 9"/>
    <w:basedOn w:val="Normal"/>
    <w:next w:val="Normal"/>
    <w:autoRedefine/>
    <w:uiPriority w:val="99"/>
    <w:rsid w:val="00232383"/>
    <w:pPr>
      <w:spacing w:after="0"/>
      <w:ind w:left="1540"/>
      <w:jc w:val="left"/>
    </w:pPr>
    <w:rPr>
      <w:rFonts w:ascii="Times" w:hAnsi="Times"/>
      <w:sz w:val="20"/>
    </w:rPr>
  </w:style>
  <w:style w:type="paragraph" w:customStyle="1" w:styleId="NoteText">
    <w:name w:val="NoteText"/>
    <w:basedOn w:val="Normal"/>
    <w:next w:val="Normal"/>
    <w:uiPriority w:val="99"/>
    <w:rsid w:val="00232383"/>
    <w:pPr>
      <w:spacing w:after="0"/>
    </w:pPr>
    <w:rPr>
      <w:sz w:val="16"/>
    </w:rPr>
  </w:style>
  <w:style w:type="paragraph" w:styleId="List">
    <w:name w:val="List"/>
    <w:basedOn w:val="Normal"/>
    <w:uiPriority w:val="99"/>
    <w:rsid w:val="00232383"/>
    <w:pPr>
      <w:ind w:left="360" w:hanging="360"/>
    </w:pPr>
  </w:style>
  <w:style w:type="paragraph" w:styleId="TOAHeading">
    <w:name w:val="toa heading"/>
    <w:basedOn w:val="Normal"/>
    <w:next w:val="Normal"/>
    <w:uiPriority w:val="99"/>
    <w:rsid w:val="00232383"/>
    <w:rPr>
      <w:b/>
    </w:rPr>
  </w:style>
  <w:style w:type="paragraph" w:styleId="TableofFigures">
    <w:name w:val="table of figures"/>
    <w:basedOn w:val="Normal"/>
    <w:next w:val="Normal"/>
    <w:autoRedefine/>
    <w:uiPriority w:val="99"/>
    <w:rsid w:val="00232383"/>
    <w:pPr>
      <w:tabs>
        <w:tab w:val="right" w:pos="7560"/>
      </w:tabs>
      <w:spacing w:before="60" w:after="60"/>
      <w:ind w:left="994" w:right="720" w:hanging="994"/>
      <w:jc w:val="left"/>
    </w:pPr>
    <w:rPr>
      <w:b/>
      <w:noProof/>
    </w:rPr>
  </w:style>
  <w:style w:type="paragraph" w:customStyle="1" w:styleId="AnnexHeading">
    <w:name w:val="Annex Heading"/>
    <w:basedOn w:val="Normal"/>
    <w:next w:val="Normal"/>
    <w:uiPriority w:val="99"/>
    <w:rsid w:val="00232383"/>
    <w:pPr>
      <w:keepNext/>
      <w:numPr>
        <w:numId w:val="16"/>
      </w:numPr>
      <w:spacing w:before="360"/>
      <w:ind w:left="720" w:hanging="720"/>
    </w:pPr>
    <w:rPr>
      <w:b/>
      <w:kern w:val="28"/>
      <w:sz w:val="36"/>
    </w:rPr>
  </w:style>
  <w:style w:type="paragraph" w:customStyle="1" w:styleId="SourceText">
    <w:name w:val="SourceText"/>
    <w:basedOn w:val="Normal"/>
    <w:next w:val="Normal"/>
    <w:uiPriority w:val="99"/>
    <w:rsid w:val="00232383"/>
    <w:pPr>
      <w:spacing w:after="0"/>
    </w:pPr>
    <w:rPr>
      <w:b/>
      <w:i/>
      <w:sz w:val="16"/>
    </w:rPr>
  </w:style>
  <w:style w:type="paragraph" w:customStyle="1" w:styleId="Normalnumbered">
    <w:name w:val="Normal numbered"/>
    <w:basedOn w:val="Normal"/>
    <w:autoRedefine/>
    <w:uiPriority w:val="99"/>
    <w:rsid w:val="00232383"/>
    <w:rPr>
      <w:rFonts w:ascii="Arial" w:hAnsi="Arial" w:cs="Arial"/>
    </w:rPr>
  </w:style>
  <w:style w:type="paragraph" w:customStyle="1" w:styleId="Bulletlist">
    <w:name w:val="Bullet list"/>
    <w:basedOn w:val="Normal"/>
    <w:autoRedefine/>
    <w:uiPriority w:val="99"/>
    <w:rsid w:val="00232383"/>
    <w:pPr>
      <w:numPr>
        <w:numId w:val="17"/>
      </w:numPr>
    </w:pPr>
  </w:style>
  <w:style w:type="character" w:styleId="Hyperlink">
    <w:name w:val="Hyperlink"/>
    <w:basedOn w:val="DefaultParagraphFont"/>
    <w:uiPriority w:val="99"/>
    <w:rsid w:val="00232383"/>
    <w:rPr>
      <w:rFonts w:cs="Times New Roman"/>
      <w:color w:val="0000FF"/>
      <w:u w:val="single"/>
    </w:rPr>
  </w:style>
  <w:style w:type="paragraph" w:styleId="BalloonText">
    <w:name w:val="Balloon Text"/>
    <w:basedOn w:val="Normal"/>
    <w:link w:val="BalloonTextChar"/>
    <w:uiPriority w:val="99"/>
    <w:semiHidden/>
    <w:rsid w:val="002323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46AD"/>
    <w:rPr>
      <w:rFonts w:cs="Times New Roman"/>
      <w:sz w:val="2"/>
      <w:lang w:eastAsia="en-US"/>
    </w:rPr>
  </w:style>
  <w:style w:type="character" w:styleId="FollowedHyperlink">
    <w:name w:val="FollowedHyperlink"/>
    <w:basedOn w:val="DefaultParagraphFont"/>
    <w:uiPriority w:val="99"/>
    <w:rsid w:val="00232383"/>
    <w:rPr>
      <w:rFonts w:cs="Times New Roman"/>
      <w:color w:val="800080"/>
      <w:u w:val="single"/>
    </w:rPr>
  </w:style>
  <w:style w:type="paragraph" w:customStyle="1" w:styleId="StyleBetweenSinglesolidlineAuto05ptLinewidthFrom">
    <w:name w:val="Style Between : (Single solid line Auto  0.5 pt Line width From ..."/>
    <w:basedOn w:val="Normal"/>
    <w:uiPriority w:val="99"/>
    <w:rsid w:val="00232383"/>
    <w:pPr>
      <w:pBdr>
        <w:top w:val="single" w:sz="4" w:space="1" w:color="auto"/>
        <w:left w:val="single" w:sz="4" w:space="4" w:color="auto"/>
        <w:bottom w:val="single" w:sz="4" w:space="1" w:color="auto"/>
        <w:right w:val="single" w:sz="4" w:space="4" w:color="auto"/>
        <w:between w:val="single" w:sz="4" w:space="1" w:color="auto"/>
      </w:pBdr>
      <w:shd w:val="clear" w:color="auto" w:fill="FF6600"/>
    </w:pPr>
    <w:rPr>
      <w:szCs w:val="20"/>
    </w:rPr>
  </w:style>
  <w:style w:type="paragraph" w:customStyle="1" w:styleId="StyleCaptionCalibriBefore14ptAfter14pt">
    <w:name w:val="Style Caption + Calibri Before:  14 pt After:  14 pt"/>
    <w:basedOn w:val="Caption"/>
    <w:uiPriority w:val="99"/>
    <w:rsid w:val="00232383"/>
    <w:pPr>
      <w:spacing w:before="280" w:after="280"/>
    </w:pPr>
    <w:rPr>
      <w:bCs/>
      <w:sz w:val="26"/>
      <w:szCs w:val="20"/>
    </w:rPr>
  </w:style>
  <w:style w:type="character" w:styleId="CommentReference">
    <w:name w:val="annotation reference"/>
    <w:basedOn w:val="DefaultParagraphFont"/>
    <w:uiPriority w:val="99"/>
    <w:rsid w:val="00232383"/>
    <w:rPr>
      <w:rFonts w:cs="Times New Roman"/>
      <w:sz w:val="16"/>
      <w:szCs w:val="16"/>
    </w:rPr>
  </w:style>
  <w:style w:type="paragraph" w:styleId="CommentText">
    <w:name w:val="annotation text"/>
    <w:basedOn w:val="Normal"/>
    <w:link w:val="CommentTextChar"/>
    <w:uiPriority w:val="99"/>
    <w:rsid w:val="00232383"/>
    <w:rPr>
      <w:sz w:val="20"/>
    </w:rPr>
  </w:style>
  <w:style w:type="character" w:customStyle="1" w:styleId="CommentTextChar">
    <w:name w:val="Comment Text Char"/>
    <w:basedOn w:val="DefaultParagraphFont"/>
    <w:link w:val="CommentText"/>
    <w:uiPriority w:val="99"/>
    <w:locked/>
    <w:rsid w:val="003F5017"/>
    <w:rPr>
      <w:rFonts w:ascii="Calibri" w:hAnsi="Calibri" w:cs="Times New Roman"/>
      <w:sz w:val="24"/>
      <w:szCs w:val="24"/>
      <w:lang w:eastAsia="en-US"/>
    </w:rPr>
  </w:style>
  <w:style w:type="paragraph" w:styleId="CommentSubject">
    <w:name w:val="annotation subject"/>
    <w:basedOn w:val="CommentText"/>
    <w:next w:val="CommentText"/>
    <w:link w:val="CommentSubjectChar"/>
    <w:uiPriority w:val="99"/>
    <w:rsid w:val="00232383"/>
    <w:rPr>
      <w:b/>
      <w:bCs/>
    </w:rPr>
  </w:style>
  <w:style w:type="character" w:customStyle="1" w:styleId="CommentSubjectChar">
    <w:name w:val="Comment Subject Char"/>
    <w:basedOn w:val="CommentTextChar"/>
    <w:link w:val="CommentSubject"/>
    <w:uiPriority w:val="99"/>
    <w:locked/>
    <w:rsid w:val="003F5017"/>
    <w:rPr>
      <w:rFonts w:ascii="Calibri" w:hAnsi="Calibri" w:cs="Times New Roman"/>
      <w:b/>
      <w:bCs/>
      <w:sz w:val="24"/>
      <w:szCs w:val="24"/>
      <w:lang w:eastAsia="en-US"/>
    </w:rPr>
  </w:style>
  <w:style w:type="paragraph" w:styleId="NoSpacing">
    <w:name w:val="No Spacing"/>
    <w:uiPriority w:val="99"/>
    <w:qFormat/>
    <w:rsid w:val="003F5017"/>
    <w:rPr>
      <w:rFonts w:ascii="Calibri" w:hAnsi="Calibri"/>
      <w:sz w:val="22"/>
      <w:szCs w:val="22"/>
      <w:lang w:eastAsia="en-US"/>
    </w:rPr>
  </w:style>
  <w:style w:type="paragraph" w:styleId="BodyText">
    <w:name w:val="Body Text"/>
    <w:basedOn w:val="Normal"/>
    <w:link w:val="BodyTextChar"/>
    <w:uiPriority w:val="99"/>
    <w:rsid w:val="005E685D"/>
  </w:style>
  <w:style w:type="character" w:customStyle="1" w:styleId="BodyTextChar">
    <w:name w:val="Body Text Char"/>
    <w:basedOn w:val="DefaultParagraphFont"/>
    <w:link w:val="BodyText"/>
    <w:uiPriority w:val="99"/>
    <w:locked/>
    <w:rsid w:val="003F5017"/>
    <w:rPr>
      <w:rFonts w:ascii="Book Antiqua" w:hAnsi="Book Antiqua" w:cs="Times New Roman"/>
      <w:sz w:val="22"/>
      <w:lang w:eastAsia="en-US"/>
    </w:rPr>
  </w:style>
  <w:style w:type="paragraph" w:customStyle="1" w:styleId="HeadingA2">
    <w:name w:val="Heading A2"/>
    <w:basedOn w:val="Normal"/>
    <w:next w:val="Normal"/>
    <w:uiPriority w:val="99"/>
    <w:semiHidden/>
    <w:rsid w:val="005E685D"/>
    <w:pPr>
      <w:keepNext/>
      <w:numPr>
        <w:ilvl w:val="1"/>
        <w:numId w:val="20"/>
      </w:numPr>
      <w:tabs>
        <w:tab w:val="left" w:pos="936"/>
      </w:tabs>
      <w:spacing w:before="240" w:after="240"/>
      <w:outlineLvl w:val="1"/>
    </w:pPr>
    <w:rPr>
      <w:b/>
      <w:color w:val="244890"/>
      <w:sz w:val="32"/>
      <w:szCs w:val="32"/>
    </w:rPr>
  </w:style>
  <w:style w:type="paragraph" w:customStyle="1" w:styleId="HeadingA3">
    <w:name w:val="Heading A3"/>
    <w:basedOn w:val="Normal"/>
    <w:next w:val="Normal"/>
    <w:uiPriority w:val="99"/>
    <w:semiHidden/>
    <w:rsid w:val="005E685D"/>
    <w:pPr>
      <w:keepNext/>
      <w:numPr>
        <w:ilvl w:val="2"/>
        <w:numId w:val="20"/>
      </w:numPr>
      <w:tabs>
        <w:tab w:val="left" w:pos="1077"/>
      </w:tabs>
      <w:outlineLvl w:val="2"/>
    </w:pPr>
    <w:rPr>
      <w:b/>
      <w:color w:val="244890"/>
      <w:sz w:val="28"/>
      <w:szCs w:val="28"/>
    </w:rPr>
  </w:style>
  <w:style w:type="paragraph" w:customStyle="1" w:styleId="REPORTDATE">
    <w:name w:val="REPORTDATE"/>
    <w:basedOn w:val="Subtitle"/>
    <w:autoRedefine/>
    <w:uiPriority w:val="99"/>
    <w:semiHidden/>
    <w:rsid w:val="005E685D"/>
  </w:style>
  <w:style w:type="paragraph" w:customStyle="1" w:styleId="ExecutiveSummary">
    <w:name w:val="Executive Summary"/>
    <w:basedOn w:val="Heading1"/>
    <w:uiPriority w:val="99"/>
    <w:rsid w:val="005E685D"/>
    <w:pPr>
      <w:numPr>
        <w:numId w:val="0"/>
      </w:numPr>
      <w:jc w:val="center"/>
    </w:pPr>
  </w:style>
  <w:style w:type="table" w:styleId="TableGrid">
    <w:name w:val="Table Grid"/>
    <w:basedOn w:val="TableNormal"/>
    <w:uiPriority w:val="99"/>
    <w:rsid w:val="005E685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E685D"/>
    <w:pPr>
      <w:spacing w:before="100" w:beforeAutospacing="1" w:after="100" w:afterAutospacing="1"/>
      <w:jc w:val="left"/>
    </w:pPr>
    <w:rPr>
      <w:rFonts w:ascii="Times New Roman" w:hAnsi="Times New Roman"/>
      <w:lang w:val="en-US"/>
    </w:rPr>
  </w:style>
  <w:style w:type="paragraph" w:customStyle="1" w:styleId="AnnexH2">
    <w:name w:val="Annex H2"/>
    <w:basedOn w:val="HeadingA2"/>
    <w:uiPriority w:val="99"/>
    <w:rsid w:val="005E685D"/>
    <w:pPr>
      <w:ind w:left="960" w:hanging="960"/>
    </w:pPr>
  </w:style>
  <w:style w:type="paragraph" w:customStyle="1" w:styleId="AnnexH3">
    <w:name w:val="Annex H3"/>
    <w:basedOn w:val="HeadingA3"/>
    <w:uiPriority w:val="99"/>
    <w:rsid w:val="005E685D"/>
    <w:pPr>
      <w:tabs>
        <w:tab w:val="clear" w:pos="720"/>
        <w:tab w:val="clear" w:pos="1077"/>
        <w:tab w:val="num" w:pos="1080"/>
      </w:tabs>
      <w:ind w:left="1080" w:hanging="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280237">
      <w:bodyDiv w:val="1"/>
      <w:marLeft w:val="0"/>
      <w:marRight w:val="0"/>
      <w:marTop w:val="0"/>
      <w:marBottom w:val="0"/>
      <w:divBdr>
        <w:top w:val="none" w:sz="0" w:space="0" w:color="auto"/>
        <w:left w:val="none" w:sz="0" w:space="0" w:color="auto"/>
        <w:bottom w:val="none" w:sz="0" w:space="0" w:color="auto"/>
        <w:right w:val="none" w:sz="0" w:space="0" w:color="auto"/>
      </w:divBdr>
    </w:div>
    <w:div w:id="1683583955">
      <w:marLeft w:val="0"/>
      <w:marRight w:val="0"/>
      <w:marTop w:val="0"/>
      <w:marBottom w:val="0"/>
      <w:divBdr>
        <w:top w:val="none" w:sz="0" w:space="0" w:color="auto"/>
        <w:left w:val="none" w:sz="0" w:space="0" w:color="auto"/>
        <w:bottom w:val="none" w:sz="0" w:space="0" w:color="auto"/>
        <w:right w:val="none" w:sz="0" w:space="0" w:color="auto"/>
      </w:divBdr>
    </w:div>
    <w:div w:id="1683583956">
      <w:marLeft w:val="0"/>
      <w:marRight w:val="0"/>
      <w:marTop w:val="0"/>
      <w:marBottom w:val="0"/>
      <w:divBdr>
        <w:top w:val="none" w:sz="0" w:space="0" w:color="auto"/>
        <w:left w:val="none" w:sz="0" w:space="0" w:color="auto"/>
        <w:bottom w:val="none" w:sz="0" w:space="0" w:color="auto"/>
        <w:right w:val="none" w:sz="0" w:space="0" w:color="auto"/>
      </w:divBdr>
    </w:div>
    <w:div w:id="1683583957">
      <w:marLeft w:val="0"/>
      <w:marRight w:val="0"/>
      <w:marTop w:val="0"/>
      <w:marBottom w:val="0"/>
      <w:divBdr>
        <w:top w:val="none" w:sz="0" w:space="0" w:color="auto"/>
        <w:left w:val="none" w:sz="0" w:space="0" w:color="auto"/>
        <w:bottom w:val="none" w:sz="0" w:space="0" w:color="auto"/>
        <w:right w:val="none" w:sz="0" w:space="0" w:color="auto"/>
      </w:divBdr>
    </w:div>
    <w:div w:id="1683583958">
      <w:marLeft w:val="0"/>
      <w:marRight w:val="0"/>
      <w:marTop w:val="0"/>
      <w:marBottom w:val="0"/>
      <w:divBdr>
        <w:top w:val="none" w:sz="0" w:space="0" w:color="auto"/>
        <w:left w:val="none" w:sz="0" w:space="0" w:color="auto"/>
        <w:bottom w:val="none" w:sz="0" w:space="0" w:color="auto"/>
        <w:right w:val="none" w:sz="0" w:space="0" w:color="auto"/>
      </w:divBdr>
    </w:div>
    <w:div w:id="1683583959">
      <w:marLeft w:val="0"/>
      <w:marRight w:val="0"/>
      <w:marTop w:val="0"/>
      <w:marBottom w:val="0"/>
      <w:divBdr>
        <w:top w:val="none" w:sz="0" w:space="0" w:color="auto"/>
        <w:left w:val="none" w:sz="0" w:space="0" w:color="auto"/>
        <w:bottom w:val="none" w:sz="0" w:space="0" w:color="auto"/>
        <w:right w:val="none" w:sz="0" w:space="0" w:color="auto"/>
      </w:divBdr>
    </w:div>
    <w:div w:id="1683583960">
      <w:marLeft w:val="0"/>
      <w:marRight w:val="0"/>
      <w:marTop w:val="0"/>
      <w:marBottom w:val="0"/>
      <w:divBdr>
        <w:top w:val="none" w:sz="0" w:space="0" w:color="auto"/>
        <w:left w:val="none" w:sz="0" w:space="0" w:color="auto"/>
        <w:bottom w:val="none" w:sz="0" w:space="0" w:color="auto"/>
        <w:right w:val="none" w:sz="0" w:space="0" w:color="auto"/>
      </w:divBdr>
    </w:div>
    <w:div w:id="1683583961">
      <w:marLeft w:val="0"/>
      <w:marRight w:val="0"/>
      <w:marTop w:val="0"/>
      <w:marBottom w:val="0"/>
      <w:divBdr>
        <w:top w:val="none" w:sz="0" w:space="0" w:color="auto"/>
        <w:left w:val="none" w:sz="0" w:space="0" w:color="auto"/>
        <w:bottom w:val="none" w:sz="0" w:space="0" w:color="auto"/>
        <w:right w:val="none" w:sz="0" w:space="0" w:color="auto"/>
      </w:divBdr>
    </w:div>
    <w:div w:id="1683583962">
      <w:marLeft w:val="0"/>
      <w:marRight w:val="0"/>
      <w:marTop w:val="0"/>
      <w:marBottom w:val="0"/>
      <w:divBdr>
        <w:top w:val="none" w:sz="0" w:space="0" w:color="auto"/>
        <w:left w:val="none" w:sz="0" w:space="0" w:color="auto"/>
        <w:bottom w:val="none" w:sz="0" w:space="0" w:color="auto"/>
        <w:right w:val="none" w:sz="0" w:space="0" w:color="auto"/>
      </w:divBdr>
    </w:div>
    <w:div w:id="1683583963">
      <w:marLeft w:val="0"/>
      <w:marRight w:val="0"/>
      <w:marTop w:val="0"/>
      <w:marBottom w:val="0"/>
      <w:divBdr>
        <w:top w:val="none" w:sz="0" w:space="0" w:color="auto"/>
        <w:left w:val="none" w:sz="0" w:space="0" w:color="auto"/>
        <w:bottom w:val="none" w:sz="0" w:space="0" w:color="auto"/>
        <w:right w:val="none" w:sz="0" w:space="0" w:color="auto"/>
      </w:divBdr>
    </w:div>
    <w:div w:id="1683583964">
      <w:marLeft w:val="0"/>
      <w:marRight w:val="0"/>
      <w:marTop w:val="0"/>
      <w:marBottom w:val="0"/>
      <w:divBdr>
        <w:top w:val="none" w:sz="0" w:space="0" w:color="auto"/>
        <w:left w:val="none" w:sz="0" w:space="0" w:color="auto"/>
        <w:bottom w:val="none" w:sz="0" w:space="0" w:color="auto"/>
        <w:right w:val="none" w:sz="0" w:space="0" w:color="auto"/>
      </w:divBdr>
    </w:div>
    <w:div w:id="1683583965">
      <w:marLeft w:val="0"/>
      <w:marRight w:val="0"/>
      <w:marTop w:val="0"/>
      <w:marBottom w:val="0"/>
      <w:divBdr>
        <w:top w:val="none" w:sz="0" w:space="0" w:color="auto"/>
        <w:left w:val="none" w:sz="0" w:space="0" w:color="auto"/>
        <w:bottom w:val="none" w:sz="0" w:space="0" w:color="auto"/>
        <w:right w:val="none" w:sz="0" w:space="0" w:color="auto"/>
      </w:divBdr>
    </w:div>
    <w:div w:id="1683583966">
      <w:marLeft w:val="0"/>
      <w:marRight w:val="0"/>
      <w:marTop w:val="0"/>
      <w:marBottom w:val="0"/>
      <w:divBdr>
        <w:top w:val="none" w:sz="0" w:space="0" w:color="auto"/>
        <w:left w:val="none" w:sz="0" w:space="0" w:color="auto"/>
        <w:bottom w:val="none" w:sz="0" w:space="0" w:color="auto"/>
        <w:right w:val="none" w:sz="0" w:space="0" w:color="auto"/>
      </w:divBdr>
    </w:div>
    <w:div w:id="1683583967">
      <w:marLeft w:val="0"/>
      <w:marRight w:val="0"/>
      <w:marTop w:val="0"/>
      <w:marBottom w:val="0"/>
      <w:divBdr>
        <w:top w:val="none" w:sz="0" w:space="0" w:color="auto"/>
        <w:left w:val="none" w:sz="0" w:space="0" w:color="auto"/>
        <w:bottom w:val="none" w:sz="0" w:space="0" w:color="auto"/>
        <w:right w:val="none" w:sz="0" w:space="0" w:color="auto"/>
      </w:divBdr>
    </w:div>
    <w:div w:id="1683583968">
      <w:marLeft w:val="0"/>
      <w:marRight w:val="0"/>
      <w:marTop w:val="0"/>
      <w:marBottom w:val="0"/>
      <w:divBdr>
        <w:top w:val="none" w:sz="0" w:space="0" w:color="auto"/>
        <w:left w:val="none" w:sz="0" w:space="0" w:color="auto"/>
        <w:bottom w:val="none" w:sz="0" w:space="0" w:color="auto"/>
        <w:right w:val="none" w:sz="0" w:space="0" w:color="auto"/>
      </w:divBdr>
    </w:div>
    <w:div w:id="1683583969">
      <w:marLeft w:val="0"/>
      <w:marRight w:val="0"/>
      <w:marTop w:val="0"/>
      <w:marBottom w:val="0"/>
      <w:divBdr>
        <w:top w:val="none" w:sz="0" w:space="0" w:color="auto"/>
        <w:left w:val="none" w:sz="0" w:space="0" w:color="auto"/>
        <w:bottom w:val="none" w:sz="0" w:space="0" w:color="auto"/>
        <w:right w:val="none" w:sz="0" w:space="0" w:color="auto"/>
      </w:divBdr>
    </w:div>
    <w:div w:id="1683583970">
      <w:marLeft w:val="0"/>
      <w:marRight w:val="0"/>
      <w:marTop w:val="0"/>
      <w:marBottom w:val="0"/>
      <w:divBdr>
        <w:top w:val="none" w:sz="0" w:space="0" w:color="auto"/>
        <w:left w:val="none" w:sz="0" w:space="0" w:color="auto"/>
        <w:bottom w:val="none" w:sz="0" w:space="0" w:color="auto"/>
        <w:right w:val="none" w:sz="0" w:space="0" w:color="auto"/>
      </w:divBdr>
    </w:div>
    <w:div w:id="1683583971">
      <w:marLeft w:val="0"/>
      <w:marRight w:val="0"/>
      <w:marTop w:val="0"/>
      <w:marBottom w:val="0"/>
      <w:divBdr>
        <w:top w:val="none" w:sz="0" w:space="0" w:color="auto"/>
        <w:left w:val="none" w:sz="0" w:space="0" w:color="auto"/>
        <w:bottom w:val="none" w:sz="0" w:space="0" w:color="auto"/>
        <w:right w:val="none" w:sz="0" w:space="0" w:color="auto"/>
      </w:divBdr>
    </w:div>
    <w:div w:id="1683583972">
      <w:marLeft w:val="0"/>
      <w:marRight w:val="0"/>
      <w:marTop w:val="0"/>
      <w:marBottom w:val="0"/>
      <w:divBdr>
        <w:top w:val="none" w:sz="0" w:space="0" w:color="auto"/>
        <w:left w:val="none" w:sz="0" w:space="0" w:color="auto"/>
        <w:bottom w:val="none" w:sz="0" w:space="0" w:color="auto"/>
        <w:right w:val="none" w:sz="0" w:space="0" w:color="auto"/>
      </w:divBdr>
    </w:div>
    <w:div w:id="1683583973">
      <w:marLeft w:val="0"/>
      <w:marRight w:val="0"/>
      <w:marTop w:val="0"/>
      <w:marBottom w:val="0"/>
      <w:divBdr>
        <w:top w:val="none" w:sz="0" w:space="0" w:color="auto"/>
        <w:left w:val="none" w:sz="0" w:space="0" w:color="auto"/>
        <w:bottom w:val="none" w:sz="0" w:space="0" w:color="auto"/>
        <w:right w:val="none" w:sz="0" w:space="0" w:color="auto"/>
      </w:divBdr>
    </w:div>
    <w:div w:id="1683583974">
      <w:marLeft w:val="0"/>
      <w:marRight w:val="0"/>
      <w:marTop w:val="0"/>
      <w:marBottom w:val="0"/>
      <w:divBdr>
        <w:top w:val="none" w:sz="0" w:space="0" w:color="auto"/>
        <w:left w:val="none" w:sz="0" w:space="0" w:color="auto"/>
        <w:bottom w:val="none" w:sz="0" w:space="0" w:color="auto"/>
        <w:right w:val="none" w:sz="0" w:space="0" w:color="auto"/>
      </w:divBdr>
    </w:div>
    <w:div w:id="1683583975">
      <w:marLeft w:val="0"/>
      <w:marRight w:val="0"/>
      <w:marTop w:val="0"/>
      <w:marBottom w:val="0"/>
      <w:divBdr>
        <w:top w:val="none" w:sz="0" w:space="0" w:color="auto"/>
        <w:left w:val="none" w:sz="0" w:space="0" w:color="auto"/>
        <w:bottom w:val="none" w:sz="0" w:space="0" w:color="auto"/>
        <w:right w:val="none" w:sz="0" w:space="0" w:color="auto"/>
      </w:divBdr>
    </w:div>
    <w:div w:id="1683583976">
      <w:marLeft w:val="0"/>
      <w:marRight w:val="0"/>
      <w:marTop w:val="0"/>
      <w:marBottom w:val="0"/>
      <w:divBdr>
        <w:top w:val="none" w:sz="0" w:space="0" w:color="auto"/>
        <w:left w:val="none" w:sz="0" w:space="0" w:color="auto"/>
        <w:bottom w:val="none" w:sz="0" w:space="0" w:color="auto"/>
        <w:right w:val="none" w:sz="0" w:space="0" w:color="auto"/>
      </w:divBdr>
    </w:div>
    <w:div w:id="1683583977">
      <w:marLeft w:val="0"/>
      <w:marRight w:val="0"/>
      <w:marTop w:val="0"/>
      <w:marBottom w:val="0"/>
      <w:divBdr>
        <w:top w:val="none" w:sz="0" w:space="0" w:color="auto"/>
        <w:left w:val="none" w:sz="0" w:space="0" w:color="auto"/>
        <w:bottom w:val="none" w:sz="0" w:space="0" w:color="auto"/>
        <w:right w:val="none" w:sz="0" w:space="0" w:color="auto"/>
      </w:divBdr>
    </w:div>
    <w:div w:id="1683583978">
      <w:marLeft w:val="0"/>
      <w:marRight w:val="0"/>
      <w:marTop w:val="0"/>
      <w:marBottom w:val="0"/>
      <w:divBdr>
        <w:top w:val="none" w:sz="0" w:space="0" w:color="auto"/>
        <w:left w:val="none" w:sz="0" w:space="0" w:color="auto"/>
        <w:bottom w:val="none" w:sz="0" w:space="0" w:color="auto"/>
        <w:right w:val="none" w:sz="0" w:space="0" w:color="auto"/>
      </w:divBdr>
    </w:div>
    <w:div w:id="1683583979">
      <w:marLeft w:val="0"/>
      <w:marRight w:val="0"/>
      <w:marTop w:val="0"/>
      <w:marBottom w:val="0"/>
      <w:divBdr>
        <w:top w:val="none" w:sz="0" w:space="0" w:color="auto"/>
        <w:left w:val="none" w:sz="0" w:space="0" w:color="auto"/>
        <w:bottom w:val="none" w:sz="0" w:space="0" w:color="auto"/>
        <w:right w:val="none" w:sz="0" w:space="0" w:color="auto"/>
      </w:divBdr>
    </w:div>
    <w:div w:id="1683583980">
      <w:marLeft w:val="0"/>
      <w:marRight w:val="0"/>
      <w:marTop w:val="0"/>
      <w:marBottom w:val="0"/>
      <w:divBdr>
        <w:top w:val="none" w:sz="0" w:space="0" w:color="auto"/>
        <w:left w:val="none" w:sz="0" w:space="0" w:color="auto"/>
        <w:bottom w:val="none" w:sz="0" w:space="0" w:color="auto"/>
        <w:right w:val="none" w:sz="0" w:space="0" w:color="auto"/>
      </w:divBdr>
    </w:div>
    <w:div w:id="1683583981">
      <w:marLeft w:val="0"/>
      <w:marRight w:val="0"/>
      <w:marTop w:val="0"/>
      <w:marBottom w:val="0"/>
      <w:divBdr>
        <w:top w:val="none" w:sz="0" w:space="0" w:color="auto"/>
        <w:left w:val="none" w:sz="0" w:space="0" w:color="auto"/>
        <w:bottom w:val="none" w:sz="0" w:space="0" w:color="auto"/>
        <w:right w:val="none" w:sz="0" w:space="0" w:color="auto"/>
      </w:divBdr>
    </w:div>
    <w:div w:id="1683583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mg.ac.uk/the_model.html" TargetMode="External"/><Relationship Id="rId2" Type="http://schemas.openxmlformats.org/officeDocument/2006/relationships/hyperlink" Target="http://www.aude.ac.uk/info-centre/aude_toolkit_forsustainableestate" TargetMode="External"/><Relationship Id="rId1" Type="http://schemas.openxmlformats.org/officeDocument/2006/relationships/hyperlink" Target="http://www.smg.ac.uk/documents/spacenorms.pdf" TargetMode="External"/><Relationship Id="rId4" Type="http://schemas.openxmlformats.org/officeDocument/2006/relationships/hyperlink" Target="http://www.hesa.ac.uk/index.php/content/view/356/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E06A-9DC3-4DC6-83B7-D44C3261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82D3CB41</Template>
  <TotalTime>0</TotalTime>
  <Pages>23</Pages>
  <Words>4509</Words>
  <Characters>25707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[MAIN HEADING]</vt:lpstr>
    </vt:vector>
  </TitlesOfParts>
  <Company>London Economics</Company>
  <LinksUpToDate>false</LinksUpToDate>
  <CharactersWithSpaces>30156</CharactersWithSpaces>
  <SharedDoc>false</SharedDoc>
  <HLinks>
    <vt:vector size="84" baseType="variant">
      <vt:variant>
        <vt:i4>1245233</vt:i4>
      </vt:variant>
      <vt:variant>
        <vt:i4>38</vt:i4>
      </vt:variant>
      <vt:variant>
        <vt:i4>0</vt:i4>
      </vt:variant>
      <vt:variant>
        <vt:i4>5</vt:i4>
      </vt:variant>
      <vt:variant>
        <vt:lpwstr/>
      </vt:variant>
      <vt:variant>
        <vt:lpwstr>_Toc257210538</vt:lpwstr>
      </vt:variant>
      <vt:variant>
        <vt:i4>1245233</vt:i4>
      </vt:variant>
      <vt:variant>
        <vt:i4>32</vt:i4>
      </vt:variant>
      <vt:variant>
        <vt:i4>0</vt:i4>
      </vt:variant>
      <vt:variant>
        <vt:i4>5</vt:i4>
      </vt:variant>
      <vt:variant>
        <vt:lpwstr/>
      </vt:variant>
      <vt:variant>
        <vt:lpwstr>_Toc257210537</vt:lpwstr>
      </vt:variant>
      <vt:variant>
        <vt:i4>1245233</vt:i4>
      </vt:variant>
      <vt:variant>
        <vt:i4>26</vt:i4>
      </vt:variant>
      <vt:variant>
        <vt:i4>0</vt:i4>
      </vt:variant>
      <vt:variant>
        <vt:i4>5</vt:i4>
      </vt:variant>
      <vt:variant>
        <vt:lpwstr/>
      </vt:variant>
      <vt:variant>
        <vt:lpwstr>_Toc257210536</vt:lpwstr>
      </vt:variant>
      <vt:variant>
        <vt:i4>1245233</vt:i4>
      </vt:variant>
      <vt:variant>
        <vt:i4>20</vt:i4>
      </vt:variant>
      <vt:variant>
        <vt:i4>0</vt:i4>
      </vt:variant>
      <vt:variant>
        <vt:i4>5</vt:i4>
      </vt:variant>
      <vt:variant>
        <vt:lpwstr/>
      </vt:variant>
      <vt:variant>
        <vt:lpwstr>_Toc257210535</vt:lpwstr>
      </vt:variant>
      <vt:variant>
        <vt:i4>327692</vt:i4>
      </vt:variant>
      <vt:variant>
        <vt:i4>9</vt:i4>
      </vt:variant>
      <vt:variant>
        <vt:i4>0</vt:i4>
      </vt:variant>
      <vt:variant>
        <vt:i4>5</vt:i4>
      </vt:variant>
      <vt:variant>
        <vt:lpwstr>http://www.hesa.ac.uk/index.php/content/view/356/233/</vt:lpwstr>
      </vt:variant>
      <vt:variant>
        <vt:lpwstr/>
      </vt:variant>
      <vt:variant>
        <vt:i4>6946893</vt:i4>
      </vt:variant>
      <vt:variant>
        <vt:i4>6</vt:i4>
      </vt:variant>
      <vt:variant>
        <vt:i4>0</vt:i4>
      </vt:variant>
      <vt:variant>
        <vt:i4>5</vt:i4>
      </vt:variant>
      <vt:variant>
        <vt:lpwstr>http://www.smg.ac.uk/the_model.html</vt:lpwstr>
      </vt:variant>
      <vt:variant>
        <vt:lpwstr/>
      </vt:variant>
      <vt:variant>
        <vt:i4>6815784</vt:i4>
      </vt:variant>
      <vt:variant>
        <vt:i4>3</vt:i4>
      </vt:variant>
      <vt:variant>
        <vt:i4>0</vt:i4>
      </vt:variant>
      <vt:variant>
        <vt:i4>5</vt:i4>
      </vt:variant>
      <vt:variant>
        <vt:lpwstr>http://www.aude.ac.uk/info-centre/aude_toolkit_forsustainableestate</vt:lpwstr>
      </vt:variant>
      <vt:variant>
        <vt:lpwstr/>
      </vt:variant>
      <vt:variant>
        <vt:i4>5439490</vt:i4>
      </vt:variant>
      <vt:variant>
        <vt:i4>0</vt:i4>
      </vt:variant>
      <vt:variant>
        <vt:i4>0</vt:i4>
      </vt:variant>
      <vt:variant>
        <vt:i4>5</vt:i4>
      </vt:variant>
      <vt:variant>
        <vt:lpwstr>http://www.smg.ac.uk/documents/spacenorms.pdf</vt:lpwstr>
      </vt:variant>
      <vt:variant>
        <vt:lpwstr/>
      </vt:variant>
      <vt:variant>
        <vt:i4>3145833</vt:i4>
      </vt:variant>
      <vt:variant>
        <vt:i4>2141</vt:i4>
      </vt:variant>
      <vt:variant>
        <vt:i4>1026</vt:i4>
      </vt:variant>
      <vt:variant>
        <vt:i4>1</vt:i4>
      </vt:variant>
      <vt:variant>
        <vt:lpwstr>http://www.eauc.org.uk/image_uploads/aude_resized.gif</vt:lpwstr>
      </vt:variant>
      <vt:variant>
        <vt:lpwstr/>
      </vt:variant>
      <vt:variant>
        <vt:i4>5373960</vt:i4>
      </vt:variant>
      <vt:variant>
        <vt:i4>2478</vt:i4>
      </vt:variant>
      <vt:variant>
        <vt:i4>1027</vt:i4>
      </vt:variant>
      <vt:variant>
        <vt:i4>1</vt:i4>
      </vt:variant>
      <vt:variant>
        <vt:lpwstr>http://www.kilnerplanning.co.uk/Resources/toplogo.gif</vt:lpwstr>
      </vt:variant>
      <vt:variant>
        <vt:lpwstr/>
      </vt:variant>
      <vt:variant>
        <vt:i4>3997807</vt:i4>
      </vt:variant>
      <vt:variant>
        <vt:i4>2581</vt:i4>
      </vt:variant>
      <vt:variant>
        <vt:i4>1029</vt:i4>
      </vt:variant>
      <vt:variant>
        <vt:i4>1</vt:i4>
      </vt:variant>
      <vt:variant>
        <vt:lpwstr>http://www.eauc.org.uk/image_uploads/hefce_resized.jpg</vt:lpwstr>
      </vt:variant>
      <vt:variant>
        <vt:lpwstr/>
      </vt:variant>
      <vt:variant>
        <vt:i4>7667810</vt:i4>
      </vt:variant>
      <vt:variant>
        <vt:i4>2703</vt:i4>
      </vt:variant>
      <vt:variant>
        <vt:i4>1030</vt:i4>
      </vt:variant>
      <vt:variant>
        <vt:i4>1</vt:i4>
      </vt:variant>
      <vt:variant>
        <vt:lpwstr>http://www.eauc.org.uk/image_uploads/scottish_funding_council-7052_resized.jpg</vt:lpwstr>
      </vt:variant>
      <vt:variant>
        <vt:lpwstr/>
      </vt:variant>
      <vt:variant>
        <vt:i4>8192042</vt:i4>
      </vt:variant>
      <vt:variant>
        <vt:i4>2811</vt:i4>
      </vt:variant>
      <vt:variant>
        <vt:i4>1031</vt:i4>
      </vt:variant>
      <vt:variant>
        <vt:i4>1</vt:i4>
      </vt:variant>
      <vt:variant>
        <vt:lpwstr>http://www.eauc.org.uk/image_uploads/hefcw_logo_cmyk_resized.jpg</vt:lpwstr>
      </vt:variant>
      <vt:variant>
        <vt:lpwstr/>
      </vt:variant>
      <vt:variant>
        <vt:i4>4718619</vt:i4>
      </vt:variant>
      <vt:variant>
        <vt:i4>2891</vt:i4>
      </vt:variant>
      <vt:variant>
        <vt:i4>1032</vt:i4>
      </vt:variant>
      <vt:variant>
        <vt:i4>1</vt:i4>
      </vt:variant>
      <vt:variant>
        <vt:lpwstr>http://www.delni.gov.uk/del-logo.gif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HEADING]</dc:title>
  <dc:subject/>
  <dc:creator>Sian Kilner</dc:creator>
  <cp:keywords/>
  <dc:description/>
  <cp:lastModifiedBy>Bernard Dromgoole [7060]</cp:lastModifiedBy>
  <cp:revision>2</cp:revision>
  <cp:lastPrinted>2010-11-02T11:48:00Z</cp:lastPrinted>
  <dcterms:created xsi:type="dcterms:W3CDTF">2015-08-18T08:41:00Z</dcterms:created>
  <dcterms:modified xsi:type="dcterms:W3CDTF">2015-08-18T08:41:00Z</dcterms:modified>
</cp:coreProperties>
</file>